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F5B0EE" w14:textId="4FD178FC" w:rsidR="00435789" w:rsidRDefault="002E35E2" w:rsidP="001F1C95">
      <w:pPr>
        <w:pStyle w:val="Heading1"/>
        <w:tabs>
          <w:tab w:val="left" w:pos="1320"/>
          <w:tab w:val="center" w:pos="4513"/>
        </w:tabs>
      </w:pPr>
      <w:r>
        <w:t>Terms of Reference for Subgroups</w:t>
      </w:r>
    </w:p>
    <w:tbl>
      <w:tblPr>
        <w:tblStyle w:val="TableGrid"/>
        <w:tblW w:w="0" w:type="auto"/>
        <w:tblLook w:val="04A0" w:firstRow="1" w:lastRow="0" w:firstColumn="1" w:lastColumn="0" w:noHBand="0" w:noVBand="1"/>
      </w:tblPr>
      <w:tblGrid>
        <w:gridCol w:w="703"/>
        <w:gridCol w:w="1129"/>
        <w:gridCol w:w="1030"/>
        <w:gridCol w:w="3229"/>
        <w:gridCol w:w="1426"/>
        <w:gridCol w:w="1499"/>
      </w:tblGrid>
      <w:tr w:rsidR="001F1C95" w14:paraId="5E6E93EE" w14:textId="77777777" w:rsidTr="001F1C95">
        <w:tc>
          <w:tcPr>
            <w:tcW w:w="703" w:type="dxa"/>
            <w:shd w:val="clear" w:color="auto" w:fill="E7E6E6" w:themeFill="background2"/>
          </w:tcPr>
          <w:p w14:paraId="1ECD7931" w14:textId="77777777" w:rsidR="001F1C95" w:rsidRPr="001F1C95" w:rsidRDefault="001F1C95" w:rsidP="001F1C95">
            <w:pPr>
              <w:spacing w:after="0" w:line="240" w:lineRule="auto"/>
              <w:jc w:val="center"/>
              <w:rPr>
                <w:rFonts w:ascii="Arial" w:hAnsi="Arial" w:cs="Arial"/>
                <w:b/>
                <w:bCs/>
              </w:rPr>
            </w:pPr>
            <w:r w:rsidRPr="001F1C95">
              <w:rPr>
                <w:rFonts w:ascii="Arial" w:hAnsi="Arial" w:cs="Arial"/>
                <w:b/>
                <w:bCs/>
              </w:rPr>
              <w:t>Rev</w:t>
            </w:r>
          </w:p>
        </w:tc>
        <w:tc>
          <w:tcPr>
            <w:tcW w:w="1129" w:type="dxa"/>
            <w:shd w:val="clear" w:color="auto" w:fill="E7E6E6" w:themeFill="background2"/>
          </w:tcPr>
          <w:p w14:paraId="4BAF1C26" w14:textId="77777777" w:rsidR="001F1C95" w:rsidRPr="001F1C95" w:rsidRDefault="001F1C95" w:rsidP="001F1C95">
            <w:pPr>
              <w:spacing w:after="0" w:line="240" w:lineRule="auto"/>
              <w:jc w:val="center"/>
              <w:rPr>
                <w:rFonts w:ascii="Arial" w:hAnsi="Arial" w:cs="Arial"/>
                <w:b/>
                <w:bCs/>
              </w:rPr>
            </w:pPr>
            <w:r w:rsidRPr="001F1C95">
              <w:rPr>
                <w:rFonts w:ascii="Arial" w:hAnsi="Arial" w:cs="Arial"/>
                <w:b/>
                <w:bCs/>
              </w:rPr>
              <w:t>Date</w:t>
            </w:r>
          </w:p>
        </w:tc>
        <w:tc>
          <w:tcPr>
            <w:tcW w:w="1030" w:type="dxa"/>
            <w:shd w:val="clear" w:color="auto" w:fill="E7E6E6" w:themeFill="background2"/>
          </w:tcPr>
          <w:p w14:paraId="17D7C55C" w14:textId="77777777" w:rsidR="001F1C95" w:rsidRPr="001F1C95" w:rsidRDefault="001F1C95" w:rsidP="001F1C95">
            <w:pPr>
              <w:spacing w:after="0" w:line="240" w:lineRule="auto"/>
              <w:jc w:val="center"/>
              <w:rPr>
                <w:rFonts w:ascii="Arial" w:hAnsi="Arial" w:cs="Arial"/>
                <w:b/>
                <w:bCs/>
              </w:rPr>
            </w:pPr>
            <w:r w:rsidRPr="001F1C95">
              <w:rPr>
                <w:rFonts w:ascii="Arial" w:hAnsi="Arial" w:cs="Arial"/>
                <w:b/>
                <w:bCs/>
              </w:rPr>
              <w:t>Version</w:t>
            </w:r>
          </w:p>
        </w:tc>
        <w:tc>
          <w:tcPr>
            <w:tcW w:w="3229" w:type="dxa"/>
            <w:shd w:val="clear" w:color="auto" w:fill="E7E6E6" w:themeFill="background2"/>
          </w:tcPr>
          <w:p w14:paraId="4BBB0EF2" w14:textId="77777777" w:rsidR="001F1C95" w:rsidRPr="001F1C95" w:rsidRDefault="001F1C95" w:rsidP="001F1C95">
            <w:pPr>
              <w:spacing w:after="0" w:line="240" w:lineRule="auto"/>
              <w:jc w:val="center"/>
              <w:rPr>
                <w:rFonts w:ascii="Arial" w:hAnsi="Arial" w:cs="Arial"/>
                <w:b/>
                <w:bCs/>
              </w:rPr>
            </w:pPr>
            <w:r w:rsidRPr="001F1C95">
              <w:rPr>
                <w:rFonts w:ascii="Arial" w:hAnsi="Arial" w:cs="Arial"/>
                <w:b/>
                <w:bCs/>
              </w:rPr>
              <w:t>Description</w:t>
            </w:r>
          </w:p>
        </w:tc>
        <w:tc>
          <w:tcPr>
            <w:tcW w:w="1426" w:type="dxa"/>
            <w:shd w:val="clear" w:color="auto" w:fill="E7E6E6" w:themeFill="background2"/>
          </w:tcPr>
          <w:p w14:paraId="6239406A" w14:textId="77777777" w:rsidR="001F1C95" w:rsidRPr="001F1C95" w:rsidRDefault="001F1C95" w:rsidP="001F1C95">
            <w:pPr>
              <w:spacing w:after="0" w:line="240" w:lineRule="auto"/>
              <w:jc w:val="center"/>
              <w:rPr>
                <w:rFonts w:ascii="Arial" w:hAnsi="Arial" w:cs="Arial"/>
                <w:b/>
                <w:bCs/>
              </w:rPr>
            </w:pPr>
            <w:r w:rsidRPr="001F1C95">
              <w:rPr>
                <w:rFonts w:ascii="Arial" w:hAnsi="Arial" w:cs="Arial"/>
                <w:b/>
                <w:bCs/>
              </w:rPr>
              <w:t>Owner</w:t>
            </w:r>
          </w:p>
        </w:tc>
        <w:tc>
          <w:tcPr>
            <w:tcW w:w="1499" w:type="dxa"/>
            <w:shd w:val="clear" w:color="auto" w:fill="E7E6E6" w:themeFill="background2"/>
          </w:tcPr>
          <w:p w14:paraId="49690EEE" w14:textId="77777777" w:rsidR="001F1C95" w:rsidRPr="001F1C95" w:rsidRDefault="001F1C95" w:rsidP="001F1C95">
            <w:pPr>
              <w:spacing w:after="0" w:line="240" w:lineRule="auto"/>
              <w:jc w:val="center"/>
              <w:rPr>
                <w:rFonts w:ascii="Arial" w:hAnsi="Arial" w:cs="Arial"/>
                <w:b/>
                <w:bCs/>
              </w:rPr>
            </w:pPr>
            <w:r w:rsidRPr="001F1C95">
              <w:rPr>
                <w:rFonts w:ascii="Arial" w:hAnsi="Arial" w:cs="Arial"/>
                <w:b/>
                <w:bCs/>
              </w:rPr>
              <w:t xml:space="preserve">Approver </w:t>
            </w:r>
          </w:p>
        </w:tc>
      </w:tr>
      <w:tr w:rsidR="001F1C95" w14:paraId="49EC2E42" w14:textId="77777777" w:rsidTr="00E213F5">
        <w:tc>
          <w:tcPr>
            <w:tcW w:w="703" w:type="dxa"/>
          </w:tcPr>
          <w:p w14:paraId="532DF8A3" w14:textId="338B4650" w:rsidR="001F1C95" w:rsidRPr="001F1C95" w:rsidRDefault="006F5BBA" w:rsidP="001F1C95">
            <w:pPr>
              <w:spacing w:after="0" w:line="240" w:lineRule="auto"/>
              <w:jc w:val="center"/>
              <w:rPr>
                <w:rFonts w:ascii="Arial" w:hAnsi="Arial" w:cs="Arial"/>
              </w:rPr>
            </w:pPr>
            <w:r>
              <w:rPr>
                <w:rFonts w:ascii="Arial" w:hAnsi="Arial" w:cs="Arial"/>
              </w:rPr>
              <w:t>1</w:t>
            </w:r>
          </w:p>
        </w:tc>
        <w:tc>
          <w:tcPr>
            <w:tcW w:w="1129" w:type="dxa"/>
          </w:tcPr>
          <w:p w14:paraId="25A863A0" w14:textId="77777777" w:rsidR="001F1C95" w:rsidRPr="001F1C95" w:rsidRDefault="001F1C95" w:rsidP="001F1C95">
            <w:pPr>
              <w:spacing w:after="0" w:line="240" w:lineRule="auto"/>
              <w:jc w:val="center"/>
              <w:rPr>
                <w:rFonts w:ascii="Arial" w:hAnsi="Arial" w:cs="Arial"/>
              </w:rPr>
            </w:pPr>
            <w:r w:rsidRPr="001F1C95">
              <w:rPr>
                <w:rFonts w:ascii="Arial" w:hAnsi="Arial" w:cs="Arial"/>
              </w:rPr>
              <w:t>January 2023</w:t>
            </w:r>
          </w:p>
        </w:tc>
        <w:tc>
          <w:tcPr>
            <w:tcW w:w="1030" w:type="dxa"/>
          </w:tcPr>
          <w:p w14:paraId="4802C5DE" w14:textId="599BB3C2" w:rsidR="001F1C95" w:rsidRPr="001F1C95" w:rsidRDefault="008915E5" w:rsidP="001F1C95">
            <w:pPr>
              <w:spacing w:after="0" w:line="240" w:lineRule="auto"/>
              <w:jc w:val="center"/>
              <w:rPr>
                <w:rFonts w:ascii="Arial" w:hAnsi="Arial" w:cs="Arial"/>
              </w:rPr>
            </w:pPr>
            <w:r>
              <w:rPr>
                <w:rFonts w:ascii="Arial" w:hAnsi="Arial" w:cs="Arial"/>
              </w:rPr>
              <w:t>Draft</w:t>
            </w:r>
          </w:p>
        </w:tc>
        <w:tc>
          <w:tcPr>
            <w:tcW w:w="3229" w:type="dxa"/>
          </w:tcPr>
          <w:p w14:paraId="2D6DC033" w14:textId="77777777" w:rsidR="001F1C95" w:rsidRPr="001F1C95" w:rsidRDefault="001F1C95" w:rsidP="001F1C95">
            <w:pPr>
              <w:spacing w:after="0" w:line="240" w:lineRule="auto"/>
              <w:jc w:val="center"/>
              <w:rPr>
                <w:rFonts w:ascii="Arial" w:hAnsi="Arial" w:cs="Arial"/>
              </w:rPr>
            </w:pPr>
            <w:r w:rsidRPr="001F1C95">
              <w:rPr>
                <w:rFonts w:ascii="Arial" w:hAnsi="Arial" w:cs="Arial"/>
              </w:rPr>
              <w:t xml:space="preserve">Document created </w:t>
            </w:r>
          </w:p>
        </w:tc>
        <w:tc>
          <w:tcPr>
            <w:tcW w:w="1426" w:type="dxa"/>
          </w:tcPr>
          <w:p w14:paraId="6673233E" w14:textId="5C9FB355" w:rsidR="001F1C95" w:rsidRPr="001F1C95" w:rsidRDefault="008915E5" w:rsidP="001F1C95">
            <w:pPr>
              <w:spacing w:after="0" w:line="240" w:lineRule="auto"/>
              <w:jc w:val="center"/>
              <w:rPr>
                <w:rFonts w:ascii="Arial" w:hAnsi="Arial" w:cs="Arial"/>
              </w:rPr>
            </w:pPr>
            <w:r>
              <w:rPr>
                <w:rFonts w:ascii="Arial" w:hAnsi="Arial" w:cs="Arial"/>
              </w:rPr>
              <w:t>Rob Ward</w:t>
            </w:r>
          </w:p>
        </w:tc>
        <w:tc>
          <w:tcPr>
            <w:tcW w:w="1499" w:type="dxa"/>
          </w:tcPr>
          <w:p w14:paraId="6A1BDCA2" w14:textId="27035ED1" w:rsidR="001F1C95" w:rsidRPr="001F1C95" w:rsidRDefault="001F1C95" w:rsidP="001F1C95">
            <w:pPr>
              <w:spacing w:after="0" w:line="240" w:lineRule="auto"/>
              <w:jc w:val="center"/>
              <w:rPr>
                <w:rFonts w:ascii="Arial" w:hAnsi="Arial" w:cs="Arial"/>
              </w:rPr>
            </w:pPr>
          </w:p>
        </w:tc>
      </w:tr>
      <w:tr w:rsidR="001F1C95" w14:paraId="4F26747A" w14:textId="77777777" w:rsidTr="00E213F5">
        <w:tc>
          <w:tcPr>
            <w:tcW w:w="703" w:type="dxa"/>
          </w:tcPr>
          <w:p w14:paraId="04B77A0A" w14:textId="01153BC4" w:rsidR="001F1C95" w:rsidRPr="001F1C95" w:rsidRDefault="006F5BBA" w:rsidP="001F1C95">
            <w:pPr>
              <w:spacing w:after="0" w:line="240" w:lineRule="auto"/>
              <w:jc w:val="center"/>
              <w:rPr>
                <w:rFonts w:ascii="Arial" w:hAnsi="Arial" w:cs="Arial"/>
              </w:rPr>
            </w:pPr>
            <w:r>
              <w:rPr>
                <w:rFonts w:ascii="Arial" w:hAnsi="Arial" w:cs="Arial"/>
              </w:rPr>
              <w:t>2</w:t>
            </w:r>
          </w:p>
        </w:tc>
        <w:tc>
          <w:tcPr>
            <w:tcW w:w="1129" w:type="dxa"/>
          </w:tcPr>
          <w:p w14:paraId="0DD17FDE" w14:textId="152FE4A7" w:rsidR="001F1C95" w:rsidRPr="001F1C95" w:rsidRDefault="006F5BBA" w:rsidP="001F1C95">
            <w:pPr>
              <w:spacing w:after="0" w:line="240" w:lineRule="auto"/>
              <w:jc w:val="center"/>
              <w:rPr>
                <w:rFonts w:ascii="Arial" w:hAnsi="Arial" w:cs="Arial"/>
              </w:rPr>
            </w:pPr>
            <w:r>
              <w:rPr>
                <w:rFonts w:ascii="Arial" w:hAnsi="Arial" w:cs="Arial"/>
              </w:rPr>
              <w:t>February 2023</w:t>
            </w:r>
          </w:p>
        </w:tc>
        <w:tc>
          <w:tcPr>
            <w:tcW w:w="1030" w:type="dxa"/>
          </w:tcPr>
          <w:p w14:paraId="39231DE6" w14:textId="45C7C93C" w:rsidR="001F1C95" w:rsidRPr="001F1C95" w:rsidRDefault="006F5BBA" w:rsidP="001F1C95">
            <w:pPr>
              <w:spacing w:after="0" w:line="240" w:lineRule="auto"/>
              <w:jc w:val="center"/>
              <w:rPr>
                <w:rFonts w:ascii="Arial" w:hAnsi="Arial" w:cs="Arial"/>
              </w:rPr>
            </w:pPr>
            <w:r>
              <w:rPr>
                <w:rFonts w:ascii="Arial" w:hAnsi="Arial" w:cs="Arial"/>
              </w:rPr>
              <w:t>Draft</w:t>
            </w:r>
          </w:p>
        </w:tc>
        <w:tc>
          <w:tcPr>
            <w:tcW w:w="3229" w:type="dxa"/>
          </w:tcPr>
          <w:p w14:paraId="133EC784" w14:textId="05637AA2" w:rsidR="001F1C95" w:rsidRPr="001F1C95" w:rsidRDefault="006F5BBA" w:rsidP="001F1C95">
            <w:pPr>
              <w:spacing w:after="0" w:line="240" w:lineRule="auto"/>
              <w:jc w:val="center"/>
              <w:rPr>
                <w:rFonts w:ascii="Arial" w:hAnsi="Arial" w:cs="Arial"/>
              </w:rPr>
            </w:pPr>
            <w:r>
              <w:rPr>
                <w:rFonts w:ascii="Arial" w:hAnsi="Arial" w:cs="Arial"/>
              </w:rPr>
              <w:t>Updated following Legal review</w:t>
            </w:r>
          </w:p>
        </w:tc>
        <w:tc>
          <w:tcPr>
            <w:tcW w:w="1426" w:type="dxa"/>
          </w:tcPr>
          <w:p w14:paraId="6A78C6F3" w14:textId="10B2C637" w:rsidR="001F1C95" w:rsidRPr="001F1C95" w:rsidRDefault="006F5BBA" w:rsidP="001F1C95">
            <w:pPr>
              <w:spacing w:after="0" w:line="240" w:lineRule="auto"/>
              <w:jc w:val="center"/>
              <w:rPr>
                <w:rFonts w:ascii="Arial" w:hAnsi="Arial" w:cs="Arial"/>
              </w:rPr>
            </w:pPr>
            <w:r>
              <w:rPr>
                <w:rFonts w:ascii="Arial" w:hAnsi="Arial" w:cs="Arial"/>
              </w:rPr>
              <w:t>Rob Ward</w:t>
            </w:r>
          </w:p>
        </w:tc>
        <w:tc>
          <w:tcPr>
            <w:tcW w:w="1499" w:type="dxa"/>
          </w:tcPr>
          <w:p w14:paraId="36755ABA" w14:textId="77777777" w:rsidR="001F1C95" w:rsidRPr="001F1C95" w:rsidRDefault="001F1C95" w:rsidP="001F1C95">
            <w:pPr>
              <w:spacing w:after="0" w:line="240" w:lineRule="auto"/>
              <w:jc w:val="center"/>
              <w:rPr>
                <w:rFonts w:ascii="Arial" w:hAnsi="Arial" w:cs="Arial"/>
              </w:rPr>
            </w:pPr>
          </w:p>
        </w:tc>
      </w:tr>
      <w:tr w:rsidR="001F1C95" w14:paraId="33251FB7" w14:textId="77777777" w:rsidTr="00E213F5">
        <w:tc>
          <w:tcPr>
            <w:tcW w:w="703" w:type="dxa"/>
          </w:tcPr>
          <w:p w14:paraId="114F3D2C" w14:textId="09AA4A68" w:rsidR="001F1C95" w:rsidRPr="001F1C95" w:rsidRDefault="0043330C" w:rsidP="001F1C95">
            <w:pPr>
              <w:spacing w:after="0" w:line="240" w:lineRule="auto"/>
              <w:jc w:val="center"/>
              <w:rPr>
                <w:rFonts w:ascii="Arial" w:hAnsi="Arial" w:cs="Arial"/>
              </w:rPr>
            </w:pPr>
            <w:r>
              <w:rPr>
                <w:rFonts w:ascii="Arial" w:hAnsi="Arial" w:cs="Arial"/>
              </w:rPr>
              <w:t>3</w:t>
            </w:r>
          </w:p>
        </w:tc>
        <w:tc>
          <w:tcPr>
            <w:tcW w:w="1129" w:type="dxa"/>
          </w:tcPr>
          <w:p w14:paraId="27EA7416" w14:textId="7D46518A" w:rsidR="001F1C95" w:rsidRPr="001F1C95" w:rsidRDefault="0043330C" w:rsidP="001F1C95">
            <w:pPr>
              <w:spacing w:after="0" w:line="240" w:lineRule="auto"/>
              <w:jc w:val="center"/>
              <w:rPr>
                <w:rFonts w:ascii="Arial" w:hAnsi="Arial" w:cs="Arial"/>
              </w:rPr>
            </w:pPr>
            <w:r>
              <w:rPr>
                <w:rFonts w:ascii="Arial" w:hAnsi="Arial" w:cs="Arial"/>
              </w:rPr>
              <w:t>April 2023</w:t>
            </w:r>
          </w:p>
        </w:tc>
        <w:tc>
          <w:tcPr>
            <w:tcW w:w="1030" w:type="dxa"/>
          </w:tcPr>
          <w:p w14:paraId="6874452F" w14:textId="7E964C8B" w:rsidR="001F1C95" w:rsidRPr="001F1C95" w:rsidRDefault="0043330C" w:rsidP="001F1C95">
            <w:pPr>
              <w:spacing w:after="0" w:line="240" w:lineRule="auto"/>
              <w:jc w:val="center"/>
              <w:rPr>
                <w:rFonts w:ascii="Arial" w:hAnsi="Arial" w:cs="Arial"/>
              </w:rPr>
            </w:pPr>
            <w:r>
              <w:rPr>
                <w:rFonts w:ascii="Arial" w:hAnsi="Arial" w:cs="Arial"/>
              </w:rPr>
              <w:t>Draft</w:t>
            </w:r>
          </w:p>
        </w:tc>
        <w:tc>
          <w:tcPr>
            <w:tcW w:w="3229" w:type="dxa"/>
          </w:tcPr>
          <w:p w14:paraId="4F8F0A11" w14:textId="0073D5DD" w:rsidR="001F1C95" w:rsidRPr="001F1C95" w:rsidRDefault="0043330C" w:rsidP="001F1C95">
            <w:pPr>
              <w:spacing w:after="0" w:line="240" w:lineRule="auto"/>
              <w:jc w:val="center"/>
              <w:rPr>
                <w:rFonts w:ascii="Arial" w:hAnsi="Arial" w:cs="Arial"/>
              </w:rPr>
            </w:pPr>
            <w:r>
              <w:rPr>
                <w:rFonts w:ascii="Arial" w:hAnsi="Arial" w:cs="Arial"/>
              </w:rPr>
              <w:t xml:space="preserve">Updated following </w:t>
            </w:r>
            <w:r w:rsidR="00632A8F">
              <w:rPr>
                <w:rFonts w:ascii="Arial" w:hAnsi="Arial" w:cs="Arial"/>
              </w:rPr>
              <w:t xml:space="preserve">Engagement &amp; Communications Subgroup meeting </w:t>
            </w:r>
          </w:p>
        </w:tc>
        <w:tc>
          <w:tcPr>
            <w:tcW w:w="1426" w:type="dxa"/>
          </w:tcPr>
          <w:p w14:paraId="3D8220E4" w14:textId="08A06952" w:rsidR="001F1C95" w:rsidRPr="001F1C95" w:rsidRDefault="001F1C95" w:rsidP="001F1C95">
            <w:pPr>
              <w:spacing w:after="0" w:line="240" w:lineRule="auto"/>
              <w:jc w:val="center"/>
              <w:rPr>
                <w:rFonts w:ascii="Arial" w:hAnsi="Arial" w:cs="Arial"/>
              </w:rPr>
            </w:pPr>
          </w:p>
        </w:tc>
        <w:tc>
          <w:tcPr>
            <w:tcW w:w="1499" w:type="dxa"/>
          </w:tcPr>
          <w:p w14:paraId="4434A830" w14:textId="77777777" w:rsidR="001F1C95" w:rsidRPr="001F1C95" w:rsidRDefault="001F1C95" w:rsidP="001F1C95">
            <w:pPr>
              <w:spacing w:after="0" w:line="240" w:lineRule="auto"/>
              <w:jc w:val="center"/>
              <w:rPr>
                <w:rFonts w:ascii="Arial" w:hAnsi="Arial" w:cs="Arial"/>
              </w:rPr>
            </w:pPr>
          </w:p>
        </w:tc>
      </w:tr>
    </w:tbl>
    <w:p w14:paraId="3F5A3050" w14:textId="1C43765C" w:rsidR="002E35E2" w:rsidRDefault="002E35E2" w:rsidP="002E35E2"/>
    <w:p w14:paraId="649CE0D4" w14:textId="6FAAC473" w:rsidR="004A2063" w:rsidRDefault="00111A92" w:rsidP="004A2063">
      <w:r>
        <w:t>At a workshop o</w:t>
      </w:r>
      <w:r w:rsidR="004A2063">
        <w:t>n 11</w:t>
      </w:r>
      <w:r w:rsidR="004A2063" w:rsidRPr="00B416D0">
        <w:rPr>
          <w:vertAlign w:val="superscript"/>
        </w:rPr>
        <w:t>th</w:t>
      </w:r>
      <w:r w:rsidR="00B416D0">
        <w:t xml:space="preserve"> January</w:t>
      </w:r>
      <w:r w:rsidR="004A2063">
        <w:t xml:space="preserve"> 2023</w:t>
      </w:r>
      <w:r w:rsidR="00B416D0">
        <w:t>,</w:t>
      </w:r>
      <w:r w:rsidR="004A2063">
        <w:t xml:space="preserve"> the South Copeland GDF Community Partnership agreed that subgroups are to be formed. This would enable specific tasks to be delegated outside</w:t>
      </w:r>
      <w:r>
        <w:t xml:space="preserve"> of</w:t>
      </w:r>
      <w:r w:rsidR="004A2063">
        <w:t xml:space="preserve"> the </w:t>
      </w:r>
      <w:r>
        <w:t xml:space="preserve">Partnership </w:t>
      </w:r>
      <w:r w:rsidR="004A2063">
        <w:t>meetings making the main meeting more efficient in its way of working</w:t>
      </w:r>
      <w:r>
        <w:t>.</w:t>
      </w:r>
    </w:p>
    <w:p w14:paraId="77A54F3E" w14:textId="0B91B2FA" w:rsidR="002B3E00" w:rsidRPr="00B241FC" w:rsidRDefault="004A2063" w:rsidP="004A2063">
      <w:r>
        <w:t xml:space="preserve">This </w:t>
      </w:r>
      <w:r w:rsidR="00111A92">
        <w:t xml:space="preserve">document presents overarching </w:t>
      </w:r>
      <w:r>
        <w:t xml:space="preserve">Terms of Reference for Subgroups - each individual Subgroup will </w:t>
      </w:r>
      <w:r w:rsidR="009E1618">
        <w:t>agree its own theme-specific</w:t>
      </w:r>
      <w:r>
        <w:t xml:space="preserve"> Terms of Reference</w:t>
      </w:r>
      <w:r w:rsidR="009E1618">
        <w:t>,</w:t>
      </w:r>
      <w:r>
        <w:t xml:space="preserve"> which will include </w:t>
      </w:r>
      <w:r w:rsidR="00340312">
        <w:t>s</w:t>
      </w:r>
      <w:r>
        <w:t xml:space="preserve">cope, </w:t>
      </w:r>
      <w:proofErr w:type="gramStart"/>
      <w:r w:rsidR="00340312">
        <w:t>m</w:t>
      </w:r>
      <w:r>
        <w:t>embership</w:t>
      </w:r>
      <w:proofErr w:type="gramEnd"/>
      <w:r>
        <w:t xml:space="preserve"> and </w:t>
      </w:r>
      <w:r w:rsidR="00340312">
        <w:t>w</w:t>
      </w:r>
      <w:r>
        <w:t xml:space="preserve">ays of </w:t>
      </w:r>
      <w:r w:rsidR="00340312">
        <w:t>w</w:t>
      </w:r>
      <w:r>
        <w:t>orking</w:t>
      </w:r>
      <w:r w:rsidR="0032443D">
        <w:t>. These are appended</w:t>
      </w:r>
      <w:r w:rsidR="00702295">
        <w:t xml:space="preserve"> </w:t>
      </w:r>
      <w:r w:rsidR="00702295" w:rsidRPr="00B241FC">
        <w:t>and should be read in conjunction with this overarching document.</w:t>
      </w:r>
    </w:p>
    <w:p w14:paraId="3DDC6FE3" w14:textId="6F297566" w:rsidR="002B3E00" w:rsidRPr="002E35E2" w:rsidRDefault="002B3E00" w:rsidP="004A2063">
      <w:r w:rsidRPr="00B241FC">
        <w:t xml:space="preserve">These Subgroup Terms of Reference are not exhaustive. Where any issue is not explicitly covered by these Terms of Reference, </w:t>
      </w:r>
      <w:r w:rsidR="00B241FC" w:rsidRPr="00B241FC">
        <w:t>the principles set out in the South Copeland Community Partnership agreement shall take precedence.</w:t>
      </w:r>
    </w:p>
    <w:p w14:paraId="04AFF0C4" w14:textId="4E8C58E9" w:rsidR="00C90E7E" w:rsidRDefault="00817EA0" w:rsidP="00EF1FC3">
      <w:pPr>
        <w:pStyle w:val="Heading2"/>
        <w:ind w:left="709" w:hanging="709"/>
      </w:pPr>
      <w:r>
        <w:t>Introduction</w:t>
      </w:r>
    </w:p>
    <w:p w14:paraId="3F00DDBC" w14:textId="41A2CD45" w:rsidR="00031110" w:rsidRPr="00C06D88" w:rsidRDefault="003724D6" w:rsidP="00031110">
      <w:r>
        <w:t>Subgroups</w:t>
      </w:r>
      <w:r w:rsidR="00031110">
        <w:t xml:space="preserve"> have been set up by the Members of the </w:t>
      </w:r>
      <w:r w:rsidR="007A7613">
        <w:t>CP</w:t>
      </w:r>
      <w:r w:rsidR="00031110">
        <w:t xml:space="preserve"> in accordance with the South Copeland GDF Community Partnership </w:t>
      </w:r>
      <w:r w:rsidR="00031110" w:rsidRPr="00C06D88">
        <w:t xml:space="preserve">Agreement (CPA) </w:t>
      </w:r>
      <w:r w:rsidR="007A7613" w:rsidRPr="00C06D88">
        <w:t>and</w:t>
      </w:r>
      <w:r w:rsidR="00031110" w:rsidRPr="00C06D88">
        <w:t xml:space="preserve"> Working with Communities Policy.</w:t>
      </w:r>
    </w:p>
    <w:p w14:paraId="793BC150" w14:textId="6B158DC9" w:rsidR="00817EA0" w:rsidRDefault="00F74D7B" w:rsidP="00031110">
      <w:r w:rsidRPr="00C06D88">
        <w:t xml:space="preserve">The South Copeland CPA shall apply to </w:t>
      </w:r>
      <w:r w:rsidR="0029190E" w:rsidRPr="00C06D88">
        <w:t xml:space="preserve">all </w:t>
      </w:r>
      <w:r w:rsidR="00031110" w:rsidRPr="00C06D88">
        <w:t>m</w:t>
      </w:r>
      <w:r w:rsidR="00031110">
        <w:t xml:space="preserve">embers </w:t>
      </w:r>
      <w:r>
        <w:t>of subgroups</w:t>
      </w:r>
      <w:r w:rsidR="00031110">
        <w:t xml:space="preserve"> (including but not limited to the obligations on Members’ conduct, declaration of interests, ways of working and information sharing).</w:t>
      </w:r>
    </w:p>
    <w:p w14:paraId="5B076A8B" w14:textId="36709E37" w:rsidR="003B158C" w:rsidRDefault="003B158C" w:rsidP="00EF1FC3">
      <w:pPr>
        <w:pStyle w:val="Heading2"/>
        <w:ind w:left="709" w:hanging="709"/>
      </w:pPr>
      <w:r>
        <w:t>Purpose of this Document</w:t>
      </w:r>
    </w:p>
    <w:p w14:paraId="19727E92" w14:textId="266577D0" w:rsidR="003B158C" w:rsidRDefault="007C63BE" w:rsidP="003B158C">
      <w:r w:rsidRPr="007C63BE">
        <w:t>These Terms of Reference set out the roles and responsibilities of Subgroup members and the procedures governing how the Subgroup</w:t>
      </w:r>
      <w:r w:rsidR="00C57D55">
        <w:t>s shall</w:t>
      </w:r>
      <w:r w:rsidRPr="007C63BE">
        <w:t xml:space="preserve"> operate on behalf of the </w:t>
      </w:r>
      <w:r w:rsidR="00640255">
        <w:t>Community Partnership</w:t>
      </w:r>
      <w:r w:rsidRPr="007C63BE">
        <w:t>.</w:t>
      </w:r>
    </w:p>
    <w:p w14:paraId="200B83AA" w14:textId="6541BEBE" w:rsidR="003B158C" w:rsidRPr="003B158C" w:rsidRDefault="002841EA" w:rsidP="00EF1FC3">
      <w:pPr>
        <w:pStyle w:val="Heading2"/>
        <w:ind w:left="709" w:hanging="709"/>
      </w:pPr>
      <w:r>
        <w:t xml:space="preserve">Role </w:t>
      </w:r>
      <w:r w:rsidR="00CE3403">
        <w:t xml:space="preserve">and Authority </w:t>
      </w:r>
      <w:r>
        <w:t>of the Subgroup</w:t>
      </w:r>
      <w:r w:rsidR="00CE3403">
        <w:t>s</w:t>
      </w:r>
    </w:p>
    <w:p w14:paraId="4F9B3BF7" w14:textId="6E4ED621" w:rsidR="00CE3403" w:rsidRDefault="00CE3403" w:rsidP="00CE3403">
      <w:r>
        <w:t xml:space="preserve">The independent authority of all Subgroups will be limited.  The discretion of Chairs should be exercised to ensure that the Community Partnership is not exposed to risks.  These risks include but are not limited to financial and reputational risks including issues of transparency and the credibility of the Community Partnership.  </w:t>
      </w:r>
    </w:p>
    <w:p w14:paraId="3D149368" w14:textId="62531AA4" w:rsidR="00CE3403" w:rsidRDefault="00CE3403" w:rsidP="00CE3403">
      <w:r>
        <w:t xml:space="preserve">Decisions which commit the </w:t>
      </w:r>
      <w:r w:rsidR="005351AE">
        <w:t>P</w:t>
      </w:r>
      <w:r>
        <w:t xml:space="preserve">artnership to expenditure or where there activities carry potential material risks of reputational damage or affect the public’s perception of the Partnership and its activities should be referred to the full partnership for discussion and approval.  </w:t>
      </w:r>
    </w:p>
    <w:p w14:paraId="131792C2" w14:textId="5BE279B6" w:rsidR="00385CF1" w:rsidRDefault="004223E6" w:rsidP="00CE3403">
      <w:r w:rsidRPr="002C3B92">
        <w:t>Subgroup</w:t>
      </w:r>
      <w:r w:rsidR="00634CF8" w:rsidRPr="002C3B92">
        <w:t>s</w:t>
      </w:r>
      <w:r w:rsidRPr="002C3B92">
        <w:t xml:space="preserve"> </w:t>
      </w:r>
      <w:r w:rsidR="00634CF8" w:rsidRPr="00CE3403">
        <w:rPr>
          <w:i/>
        </w:rPr>
        <w:t xml:space="preserve">are </w:t>
      </w:r>
      <w:r w:rsidRPr="002C3B92">
        <w:t>enabled to</w:t>
      </w:r>
      <w:r w:rsidR="00385CF1" w:rsidRPr="002C3B92">
        <w:t xml:space="preserve"> m</w:t>
      </w:r>
      <w:r w:rsidRPr="002C3B92">
        <w:t>ake decisions on behalf of the Community Partnership</w:t>
      </w:r>
      <w:r w:rsidR="00385CF1" w:rsidRPr="002C3B92">
        <w:t xml:space="preserve"> in relation to the </w:t>
      </w:r>
      <w:r w:rsidR="00CE3403">
        <w:t xml:space="preserve">delivery of objectives agreed by the Community Partnership through the delivery/action plan and in the </w:t>
      </w:r>
      <w:proofErr w:type="gramStart"/>
      <w:r w:rsidR="00CE3403">
        <w:t>day to day</w:t>
      </w:r>
      <w:proofErr w:type="gramEnd"/>
      <w:r w:rsidR="00CE3403">
        <w:t xml:space="preserve"> allocation of tasks involved in the delivery of these objectives. </w:t>
      </w:r>
    </w:p>
    <w:p w14:paraId="54C2E225" w14:textId="0A5805A0" w:rsidR="00C90E7E" w:rsidRDefault="00280215" w:rsidP="00EF1FC3">
      <w:pPr>
        <w:pStyle w:val="Heading2"/>
        <w:ind w:left="709" w:hanging="709"/>
      </w:pPr>
      <w:r>
        <w:t>Role of Members</w:t>
      </w:r>
    </w:p>
    <w:p w14:paraId="6DDC7755" w14:textId="60D13C7E" w:rsidR="00280215" w:rsidRDefault="008E139A" w:rsidP="00280215">
      <w:r>
        <w:t>Members of the subgroup will:</w:t>
      </w:r>
    </w:p>
    <w:p w14:paraId="1A41AED3" w14:textId="2C22CF13" w:rsidR="008E139A" w:rsidRDefault="008E139A" w:rsidP="008E139A">
      <w:pPr>
        <w:pStyle w:val="ListParagraph"/>
        <w:numPr>
          <w:ilvl w:val="0"/>
          <w:numId w:val="5"/>
        </w:numPr>
      </w:pPr>
      <w:r>
        <w:t>Exercise skill and judgement in the work undertaken in the Subgroup.</w:t>
      </w:r>
    </w:p>
    <w:p w14:paraId="64DCA0A1" w14:textId="51865103" w:rsidR="008E139A" w:rsidRDefault="008E139A" w:rsidP="008E139A">
      <w:pPr>
        <w:pStyle w:val="ListParagraph"/>
        <w:numPr>
          <w:ilvl w:val="0"/>
          <w:numId w:val="5"/>
        </w:numPr>
      </w:pPr>
      <w:r>
        <w:t>Bring local knowledge and perspective to the Subgroup.</w:t>
      </w:r>
    </w:p>
    <w:p w14:paraId="7F0B215E" w14:textId="028DDD72" w:rsidR="008E139A" w:rsidRDefault="008E139A" w:rsidP="008E139A">
      <w:pPr>
        <w:pStyle w:val="ListParagraph"/>
        <w:numPr>
          <w:ilvl w:val="0"/>
          <w:numId w:val="5"/>
        </w:numPr>
      </w:pPr>
      <w:r>
        <w:t>Seek to maximise the impact of the Subgroup to benefit the local community</w:t>
      </w:r>
    </w:p>
    <w:p w14:paraId="560A9327" w14:textId="2695AFD8" w:rsidR="008E139A" w:rsidRDefault="008E139A" w:rsidP="008E139A">
      <w:r>
        <w:t>(See additional appendices for specific Subgroup related activity)</w:t>
      </w:r>
    </w:p>
    <w:p w14:paraId="5787C995" w14:textId="3AA6470A" w:rsidR="008E139A" w:rsidRDefault="00CE507D" w:rsidP="00EF1FC3">
      <w:pPr>
        <w:pStyle w:val="Heading2"/>
        <w:ind w:left="709" w:hanging="709"/>
      </w:pPr>
      <w:r>
        <w:t>Reporting to the Community Partnership</w:t>
      </w:r>
    </w:p>
    <w:p w14:paraId="7DF943CE" w14:textId="4122924F" w:rsidR="00D063AC" w:rsidRDefault="00D063AC" w:rsidP="00D063AC">
      <w:r>
        <w:t xml:space="preserve">The Chair of the Subgroup will regularly report to the Community Partnership on the progress of the Subgroup and the decisions and recommendations made. </w:t>
      </w:r>
    </w:p>
    <w:p w14:paraId="1800200E" w14:textId="39D3E97B" w:rsidR="00CE507D" w:rsidRDefault="000306CA" w:rsidP="00D063AC">
      <w:r>
        <w:t>Any</w:t>
      </w:r>
      <w:r w:rsidR="00D063AC">
        <w:t xml:space="preserve"> </w:t>
      </w:r>
      <w:r>
        <w:t>a</w:t>
      </w:r>
      <w:r w:rsidR="00D063AC">
        <w:t>ctions</w:t>
      </w:r>
      <w:r>
        <w:t xml:space="preserve"> arising</w:t>
      </w:r>
      <w:r w:rsidR="00D063AC">
        <w:t xml:space="preserve"> </w:t>
      </w:r>
      <w:r>
        <w:t>from</w:t>
      </w:r>
      <w:r w:rsidR="00D063AC">
        <w:t xml:space="preserve"> the Subgroup will be appropriately recorded for monitoring.</w:t>
      </w:r>
    </w:p>
    <w:p w14:paraId="1B0FA35A" w14:textId="60200462" w:rsidR="00D469B2" w:rsidRDefault="001A5278" w:rsidP="00EF1FC3">
      <w:pPr>
        <w:pStyle w:val="Heading2"/>
        <w:ind w:left="709" w:hanging="709"/>
      </w:pPr>
      <w:r>
        <w:t>Membership</w:t>
      </w:r>
    </w:p>
    <w:p w14:paraId="37B2E256" w14:textId="7DDC1919" w:rsidR="00613AE8" w:rsidRPr="00B2036A" w:rsidRDefault="00B2036A" w:rsidP="00B2036A">
      <w:r w:rsidRPr="00B2036A">
        <w:t>The Subgroup members will be typically appointed from within the Community Partnership</w:t>
      </w:r>
      <w:r w:rsidR="00BA0013">
        <w:t xml:space="preserve"> </w:t>
      </w:r>
      <w:proofErr w:type="gramStart"/>
      <w:r w:rsidR="00BA0013">
        <w:t>membership</w:t>
      </w:r>
      <w:r w:rsidRPr="00B2036A">
        <w:t>,</w:t>
      </w:r>
      <w:proofErr w:type="gramEnd"/>
      <w:r w:rsidRPr="00B2036A">
        <w:t xml:space="preserve"> however the Community Partnership may choose to appoint Subgroup members through an open application process or co- option in accordance with </w:t>
      </w:r>
      <w:r w:rsidR="00BA0013">
        <w:t>t</w:t>
      </w:r>
      <w:r w:rsidRPr="00B2036A">
        <w:t>he Working with Communities Policy.</w:t>
      </w:r>
    </w:p>
    <w:p w14:paraId="47550DED" w14:textId="61417BCA" w:rsidR="001A5278" w:rsidRPr="00795ADC" w:rsidRDefault="00FA3E1E" w:rsidP="00795ADC">
      <w:pPr>
        <w:rPr>
          <w:b/>
          <w:bCs/>
          <w:sz w:val="24"/>
          <w:szCs w:val="24"/>
        </w:rPr>
      </w:pPr>
      <w:r w:rsidRPr="00795ADC">
        <w:rPr>
          <w:b/>
          <w:bCs/>
          <w:sz w:val="24"/>
          <w:szCs w:val="24"/>
        </w:rPr>
        <w:t>Chair</w:t>
      </w:r>
    </w:p>
    <w:p w14:paraId="06887A3C" w14:textId="59D01BC9" w:rsidR="00601BE5" w:rsidRDefault="00601BE5" w:rsidP="00601BE5">
      <w:r>
        <w:t>The Chair will be appointed from within each Subgroup membership, by the Subgroup members who have</w:t>
      </w:r>
      <w:r w:rsidR="00AD2C20">
        <w:t xml:space="preserve"> </w:t>
      </w:r>
      <w:r>
        <w:t xml:space="preserve">expressed an interest in the Subgroup Chair role. </w:t>
      </w:r>
    </w:p>
    <w:p w14:paraId="3CC60CA4" w14:textId="42EBD46B" w:rsidR="00601BE5" w:rsidRDefault="00601BE5" w:rsidP="00601BE5">
      <w:r>
        <w:t xml:space="preserve">The Chair will be accountable to the Subgroup and the Community Partnership </w:t>
      </w:r>
      <w:r w:rsidR="00F6451F">
        <w:t>for</w:t>
      </w:r>
      <w:r>
        <w:t xml:space="preserve"> ensuring that the Subgroup conduct their activities in line with these Terms of Reference. </w:t>
      </w:r>
    </w:p>
    <w:p w14:paraId="2836E394" w14:textId="12675BC5" w:rsidR="00FA3E1E" w:rsidRDefault="00601BE5" w:rsidP="00601BE5">
      <w:r>
        <w:t>The Chair must at all times ensure that the work of the Subgroup is fair, unbiased and reflects the needs of the community and Community Partnership</w:t>
      </w:r>
    </w:p>
    <w:p w14:paraId="223845DF" w14:textId="6D47E3FA" w:rsidR="00601BE5" w:rsidRPr="00097790" w:rsidRDefault="00097790" w:rsidP="00601BE5">
      <w:pPr>
        <w:rPr>
          <w:b/>
          <w:bCs/>
          <w:sz w:val="24"/>
          <w:szCs w:val="24"/>
        </w:rPr>
      </w:pPr>
      <w:r w:rsidRPr="00097790">
        <w:rPr>
          <w:b/>
          <w:bCs/>
          <w:sz w:val="24"/>
          <w:szCs w:val="24"/>
        </w:rPr>
        <w:t>Appointment of Members</w:t>
      </w:r>
    </w:p>
    <w:p w14:paraId="7E7AC6D7" w14:textId="20F61C28" w:rsidR="00934AC4" w:rsidRDefault="00934AC4" w:rsidP="00934AC4">
      <w:r>
        <w:t>Additional members may be invited to join the Subgroup by the Subgroup Chair at any time with the agreement of both the Subgroup and the Members of the Community Partnership.</w:t>
      </w:r>
    </w:p>
    <w:p w14:paraId="7A01EDB8" w14:textId="0E90ADBB" w:rsidR="00097790" w:rsidRPr="0066769A" w:rsidRDefault="00934AC4" w:rsidP="00934AC4">
      <w:r>
        <w:t>When a new Subgroup Member joins, they will be supplied with relevant information by the Community Partnership, and they will familiarise themselves with the work of the Subgroup and progress made to date</w:t>
      </w:r>
      <w:r w:rsidRPr="0066769A">
        <w:t>.</w:t>
      </w:r>
      <w:r w:rsidR="003610D9" w:rsidRPr="0066769A">
        <w:t xml:space="preserve"> New Subgroup members who are not CP members shall be taken through the CP onboarding</w:t>
      </w:r>
      <w:r w:rsidR="00D51EDC" w:rsidRPr="0066769A">
        <w:t xml:space="preserve"> process.</w:t>
      </w:r>
    </w:p>
    <w:p w14:paraId="3FD08A1B" w14:textId="1379E3B3" w:rsidR="00675407" w:rsidRDefault="00675407" w:rsidP="00934AC4">
      <w:r w:rsidRPr="0066769A">
        <w:t>There is no set term for Subgroup membership</w:t>
      </w:r>
      <w:r w:rsidR="00211D41" w:rsidRPr="0066769A">
        <w:t xml:space="preserve">, </w:t>
      </w:r>
      <w:r w:rsidR="0057205A" w:rsidRPr="0066769A">
        <w:t>however a term may be specified by agreement upon appointment.</w:t>
      </w:r>
      <w:r w:rsidR="00211D41" w:rsidRPr="0066769A">
        <w:t xml:space="preserve"> </w:t>
      </w:r>
      <w:r w:rsidR="0057205A" w:rsidRPr="0066769A">
        <w:t>M</w:t>
      </w:r>
      <w:r w:rsidR="00211D41" w:rsidRPr="0066769A">
        <w:t>embers are expected to actively contribute to meetings. Any member who misses three consecutive meetings may be requested to leave a Subgroup, at the discretion of the CP Chair.</w:t>
      </w:r>
    </w:p>
    <w:p w14:paraId="6592BA11" w14:textId="1DF3F6B7" w:rsidR="0091443D" w:rsidRDefault="00D60752" w:rsidP="00EF1FC3">
      <w:pPr>
        <w:pStyle w:val="Heading2"/>
        <w:ind w:left="709" w:hanging="709"/>
      </w:pPr>
      <w:r>
        <w:t>Decision-making</w:t>
      </w:r>
    </w:p>
    <w:p w14:paraId="334C7EA2" w14:textId="2D795959" w:rsidR="00D60752" w:rsidRDefault="00CE1103" w:rsidP="00D60752">
      <w:r>
        <w:t>D</w:t>
      </w:r>
      <w:r w:rsidRPr="00CE1103">
        <w:t xml:space="preserve">ecisions will normally be made through consensus between the Subgroup Members, however, where a consensual decision cannot be reached, an options paper will be taken to </w:t>
      </w:r>
      <w:proofErr w:type="gramStart"/>
      <w:r w:rsidRPr="00CE1103">
        <w:t xml:space="preserve">the </w:t>
      </w:r>
      <w:r w:rsidR="00B5161F">
        <w:t>a</w:t>
      </w:r>
      <w:proofErr w:type="gramEnd"/>
      <w:r w:rsidRPr="00CE1103">
        <w:t xml:space="preserve"> Community Partnership</w:t>
      </w:r>
      <w:r w:rsidR="00B5161F">
        <w:t xml:space="preserve"> meeting</w:t>
      </w:r>
      <w:r w:rsidR="00B72A21">
        <w:t xml:space="preserve"> for consideration.</w:t>
      </w:r>
    </w:p>
    <w:p w14:paraId="2F00AD81" w14:textId="3374B078" w:rsidR="00CE1103" w:rsidRDefault="009E6361" w:rsidP="009E6361">
      <w:pPr>
        <w:pStyle w:val="Heading2"/>
        <w:ind w:left="709" w:hanging="709"/>
      </w:pPr>
      <w:r>
        <w:t>Declarations of Interest</w:t>
      </w:r>
    </w:p>
    <w:p w14:paraId="1EA2C4C3" w14:textId="299FC8DE" w:rsidR="009E6361" w:rsidRDefault="009143B2" w:rsidP="00D60752">
      <w:r w:rsidRPr="009143B2">
        <w:t>All Subgroup Members are responsible for complying with the Declarations of Interest Procedure as set out in the Community Partnership Agreement. Declarations will be made to the Chair of the Subgroup and will be provided to the Chair of the Community Partnership. Where the Chair of the Subgroup is making a declaration, that will be provided to the Chair of the Community Partnership.</w:t>
      </w:r>
    </w:p>
    <w:p w14:paraId="10BF5C8E" w14:textId="56595E8E" w:rsidR="00EF1FC3" w:rsidRDefault="00EF1FC3" w:rsidP="00EF1FC3">
      <w:pPr>
        <w:pStyle w:val="Heading2"/>
        <w:ind w:left="709" w:hanging="709"/>
      </w:pPr>
      <w:r>
        <w:t>Information</w:t>
      </w:r>
    </w:p>
    <w:p w14:paraId="2CB1CECA" w14:textId="58C6E4DD" w:rsidR="00EF1FC3" w:rsidRDefault="00EF1FC3" w:rsidP="00EF1FC3">
      <w:r>
        <w:t xml:space="preserve">The Subgroup Members acknowledge that their role on the Subgroup may mean that in order to perform effectively they will have to receive confidential information </w:t>
      </w:r>
      <w:r w:rsidR="002D5685">
        <w:t xml:space="preserve">or information covered by </w:t>
      </w:r>
      <w:r>
        <w:t xml:space="preserve">data protection legislation. </w:t>
      </w:r>
      <w:r w:rsidR="002D5685">
        <w:t>I</w:t>
      </w:r>
      <w:r>
        <w:t xml:space="preserve">n order to ensure confidentiality is maintained and data protection is complied with, </w:t>
      </w:r>
      <w:r w:rsidR="002D5685">
        <w:t>Members</w:t>
      </w:r>
      <w:r>
        <w:t xml:space="preserve"> </w:t>
      </w:r>
      <w:r w:rsidR="002D5685">
        <w:t>may be required</w:t>
      </w:r>
      <w:r>
        <w:t xml:space="preserve"> enter into information sharing agreements as necessary.</w:t>
      </w:r>
    </w:p>
    <w:p w14:paraId="0748F625" w14:textId="010DE359" w:rsidR="00930FB0" w:rsidRDefault="00EF1FC3" w:rsidP="00EF1FC3">
      <w:r>
        <w:t>The Subgroup Members also acknowledge that the activities of the Subgroup may result in Freedom of Information Act 2000 and Environmental Information Regulations 2004 requests. The Subgroup members specifically acknowledge and agree to comply with the Community Partnership Agreement provisions regarding such matters.</w:t>
      </w:r>
    </w:p>
    <w:p w14:paraId="0CD778A5" w14:textId="34907504" w:rsidR="002D5685" w:rsidRDefault="002D5685" w:rsidP="00EF1FC3">
      <w:r w:rsidRPr="0066769A">
        <w:t xml:space="preserve">Members of Subgroups should </w:t>
      </w:r>
      <w:r w:rsidR="007D34F0" w:rsidRPr="0066769A">
        <w:t>comply with the terms of the Community Partnership Agreement relating to sharing of information.</w:t>
      </w:r>
    </w:p>
    <w:p w14:paraId="3F03A9C3" w14:textId="3420614B" w:rsidR="005E7D48" w:rsidRDefault="005E7D48" w:rsidP="005E7D48">
      <w:pPr>
        <w:pStyle w:val="Heading2"/>
        <w:numPr>
          <w:ilvl w:val="0"/>
          <w:numId w:val="0"/>
        </w:numPr>
        <w:ind w:left="360" w:hanging="360"/>
      </w:pPr>
      <w:r>
        <w:t>Appendices</w:t>
      </w:r>
    </w:p>
    <w:p w14:paraId="59415BBA" w14:textId="263B32E8" w:rsidR="005E7D48" w:rsidRDefault="005E7D48" w:rsidP="005E7D48">
      <w:pPr>
        <w:pStyle w:val="ListParagraph"/>
        <w:numPr>
          <w:ilvl w:val="0"/>
          <w:numId w:val="17"/>
        </w:numPr>
      </w:pPr>
      <w:r>
        <w:t>Community Engagement</w:t>
      </w:r>
      <w:r w:rsidR="00A17DA8">
        <w:t xml:space="preserve"> &amp; Communications</w:t>
      </w:r>
      <w:r>
        <w:t xml:space="preserve"> Subgroup Terms of Reference</w:t>
      </w:r>
    </w:p>
    <w:p w14:paraId="6A816222" w14:textId="196E17B2" w:rsidR="005E7D48" w:rsidRPr="005E7D48" w:rsidRDefault="005E7D48" w:rsidP="005E7D48">
      <w:pPr>
        <w:pStyle w:val="ListParagraph"/>
        <w:numPr>
          <w:ilvl w:val="0"/>
          <w:numId w:val="17"/>
        </w:numPr>
      </w:pPr>
      <w:r>
        <w:t>Operations Subgroup Terms of Reference</w:t>
      </w:r>
    </w:p>
    <w:sectPr w:rsidR="005E7D48" w:rsidRPr="005E7D48" w:rsidSect="00C90E7E">
      <w:headerReference w:type="default" r:id="rId11"/>
      <w:footerReference w:type="default" r:id="rId12"/>
      <w:pgSz w:w="11906" w:h="16838"/>
      <w:pgMar w:top="177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3AF819" w14:textId="77777777" w:rsidR="00357150" w:rsidRDefault="00357150" w:rsidP="00C90E7E">
      <w:pPr>
        <w:spacing w:after="0" w:line="240" w:lineRule="auto"/>
      </w:pPr>
      <w:r>
        <w:separator/>
      </w:r>
    </w:p>
  </w:endnote>
  <w:endnote w:type="continuationSeparator" w:id="0">
    <w:p w14:paraId="2EF5565B" w14:textId="77777777" w:rsidR="00357150" w:rsidRDefault="00357150" w:rsidP="00C90E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0018787"/>
      <w:docPartObj>
        <w:docPartGallery w:val="Page Numbers (Bottom of Page)"/>
        <w:docPartUnique/>
      </w:docPartObj>
    </w:sdtPr>
    <w:sdtEndPr>
      <w:rPr>
        <w:noProof/>
      </w:rPr>
    </w:sdtEndPr>
    <w:sdtContent>
      <w:p w14:paraId="47798860" w14:textId="4E14FC54" w:rsidR="00C90E7E" w:rsidRDefault="00C90E7E">
        <w:pPr>
          <w:pStyle w:val="Footer"/>
          <w:jc w:val="right"/>
        </w:pPr>
        <w:r>
          <w:fldChar w:fldCharType="begin"/>
        </w:r>
        <w:r>
          <w:instrText xml:space="preserve"> PAGE   \* MERGEFORMAT </w:instrText>
        </w:r>
        <w:r>
          <w:fldChar w:fldCharType="separate"/>
        </w:r>
        <w:r w:rsidR="00C15202">
          <w:rPr>
            <w:noProof/>
          </w:rPr>
          <w:t>1</w:t>
        </w:r>
        <w:r>
          <w:rPr>
            <w:noProof/>
          </w:rPr>
          <w:fldChar w:fldCharType="end"/>
        </w:r>
      </w:p>
    </w:sdtContent>
  </w:sdt>
  <w:p w14:paraId="1C71AF82" w14:textId="77777777" w:rsidR="00C90E7E" w:rsidRDefault="00C90E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2BBE89" w14:textId="77777777" w:rsidR="00357150" w:rsidRDefault="00357150" w:rsidP="00C90E7E">
      <w:pPr>
        <w:spacing w:after="0" w:line="240" w:lineRule="auto"/>
      </w:pPr>
      <w:r>
        <w:separator/>
      </w:r>
    </w:p>
  </w:footnote>
  <w:footnote w:type="continuationSeparator" w:id="0">
    <w:p w14:paraId="1F8A8EDD" w14:textId="77777777" w:rsidR="00357150" w:rsidRDefault="00357150" w:rsidP="00C90E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B1898" w14:textId="77777777" w:rsidR="00C90E7E" w:rsidRDefault="00C90E7E" w:rsidP="00C90E7E">
    <w:pPr>
      <w:pStyle w:val="Header"/>
      <w:jc w:val="right"/>
    </w:pPr>
    <w:r>
      <w:rPr>
        <w:noProof/>
        <w:lang w:eastAsia="en-GB"/>
      </w:rPr>
      <w:drawing>
        <wp:anchor distT="0" distB="0" distL="114300" distR="114300" simplePos="0" relativeHeight="251658240" behindDoc="0" locked="0" layoutInCell="1" allowOverlap="1" wp14:anchorId="5ED6885F" wp14:editId="673A8E3C">
          <wp:simplePos x="0" y="0"/>
          <wp:positionH relativeFrom="column">
            <wp:posOffset>4038600</wp:posOffset>
          </wp:positionH>
          <wp:positionV relativeFrom="paragraph">
            <wp:posOffset>-17780</wp:posOffset>
          </wp:positionV>
          <wp:extent cx="2012024" cy="298450"/>
          <wp:effectExtent l="0" t="0" r="7620" b="635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2024" cy="29845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7305F"/>
    <w:multiLevelType w:val="multilevel"/>
    <w:tmpl w:val="A6D610C8"/>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 w15:restartNumberingAfterBreak="0">
    <w:nsid w:val="0B9D2C81"/>
    <w:multiLevelType w:val="hybridMultilevel"/>
    <w:tmpl w:val="717C2E84"/>
    <w:lvl w:ilvl="0" w:tplc="7796541E">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837468"/>
    <w:multiLevelType w:val="hybridMultilevel"/>
    <w:tmpl w:val="29725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4223BA"/>
    <w:multiLevelType w:val="hybridMultilevel"/>
    <w:tmpl w:val="BCF221AC"/>
    <w:lvl w:ilvl="0" w:tplc="7796541E">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0F170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5B37A82"/>
    <w:multiLevelType w:val="hybridMultilevel"/>
    <w:tmpl w:val="42508C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FB6076"/>
    <w:multiLevelType w:val="hybridMultilevel"/>
    <w:tmpl w:val="A9D4A9B6"/>
    <w:lvl w:ilvl="0" w:tplc="7796541E">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F030927"/>
    <w:multiLevelType w:val="hybridMultilevel"/>
    <w:tmpl w:val="9F368334"/>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8" w15:restartNumberingAfterBreak="0">
    <w:nsid w:val="76C54425"/>
    <w:multiLevelType w:val="multilevel"/>
    <w:tmpl w:val="A6D610C8"/>
    <w:lvl w:ilvl="0">
      <w:start w:val="1"/>
      <w:numFmt w:val="decimal"/>
      <w:pStyle w:val="Heading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67081178">
    <w:abstractNumId w:val="4"/>
  </w:num>
  <w:num w:numId="2" w16cid:durableId="1843426333">
    <w:abstractNumId w:val="8"/>
  </w:num>
  <w:num w:numId="3" w16cid:durableId="1376541440">
    <w:abstractNumId w:val="7"/>
  </w:num>
  <w:num w:numId="4" w16cid:durableId="1148279640">
    <w:abstractNumId w:val="2"/>
  </w:num>
  <w:num w:numId="5" w16cid:durableId="179515896">
    <w:abstractNumId w:val="1"/>
  </w:num>
  <w:num w:numId="6" w16cid:durableId="1335837298">
    <w:abstractNumId w:val="6"/>
  </w:num>
  <w:num w:numId="7" w16cid:durableId="1466971370">
    <w:abstractNumId w:val="8"/>
  </w:num>
  <w:num w:numId="8" w16cid:durableId="1553736012">
    <w:abstractNumId w:val="8"/>
  </w:num>
  <w:num w:numId="9" w16cid:durableId="1391271040">
    <w:abstractNumId w:val="8"/>
  </w:num>
  <w:num w:numId="10" w16cid:durableId="564294550">
    <w:abstractNumId w:val="8"/>
  </w:num>
  <w:num w:numId="11" w16cid:durableId="1514761196">
    <w:abstractNumId w:val="8"/>
  </w:num>
  <w:num w:numId="12" w16cid:durableId="1453550096">
    <w:abstractNumId w:val="8"/>
  </w:num>
  <w:num w:numId="13" w16cid:durableId="1410615569">
    <w:abstractNumId w:val="8"/>
  </w:num>
  <w:num w:numId="14" w16cid:durableId="40325356">
    <w:abstractNumId w:val="8"/>
  </w:num>
  <w:num w:numId="15" w16cid:durableId="600995565">
    <w:abstractNumId w:val="8"/>
  </w:num>
  <w:num w:numId="16" w16cid:durableId="2044788811">
    <w:abstractNumId w:val="3"/>
  </w:num>
  <w:num w:numId="17" w16cid:durableId="1939562637">
    <w:abstractNumId w:val="0"/>
  </w:num>
  <w:num w:numId="18" w16cid:durableId="15730819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5CD0"/>
    <w:rsid w:val="0000474C"/>
    <w:rsid w:val="000306CA"/>
    <w:rsid w:val="00031110"/>
    <w:rsid w:val="000330A6"/>
    <w:rsid w:val="00044C13"/>
    <w:rsid w:val="00097790"/>
    <w:rsid w:val="000C1DF3"/>
    <w:rsid w:val="000F4CB5"/>
    <w:rsid w:val="00111A92"/>
    <w:rsid w:val="00193BE9"/>
    <w:rsid w:val="001A5278"/>
    <w:rsid w:val="001C3A30"/>
    <w:rsid w:val="001F1C95"/>
    <w:rsid w:val="00211D41"/>
    <w:rsid w:val="00215E9E"/>
    <w:rsid w:val="002306CE"/>
    <w:rsid w:val="00255CD0"/>
    <w:rsid w:val="00280215"/>
    <w:rsid w:val="002841EA"/>
    <w:rsid w:val="00287A0C"/>
    <w:rsid w:val="0029190E"/>
    <w:rsid w:val="002A2111"/>
    <w:rsid w:val="002A6315"/>
    <w:rsid w:val="002B3E00"/>
    <w:rsid w:val="002B6E8F"/>
    <w:rsid w:val="002C3B92"/>
    <w:rsid w:val="002D39D4"/>
    <w:rsid w:val="002D5266"/>
    <w:rsid w:val="002D5685"/>
    <w:rsid w:val="002E35E2"/>
    <w:rsid w:val="0032443D"/>
    <w:rsid w:val="00340312"/>
    <w:rsid w:val="00343301"/>
    <w:rsid w:val="00357150"/>
    <w:rsid w:val="003610D9"/>
    <w:rsid w:val="003724D6"/>
    <w:rsid w:val="00385CF1"/>
    <w:rsid w:val="003B158C"/>
    <w:rsid w:val="003E0750"/>
    <w:rsid w:val="003F1C52"/>
    <w:rsid w:val="00412F21"/>
    <w:rsid w:val="004223E6"/>
    <w:rsid w:val="00425DD9"/>
    <w:rsid w:val="00430A93"/>
    <w:rsid w:val="0043330C"/>
    <w:rsid w:val="00435789"/>
    <w:rsid w:val="004475D9"/>
    <w:rsid w:val="00490965"/>
    <w:rsid w:val="004963D2"/>
    <w:rsid w:val="004A2063"/>
    <w:rsid w:val="004A65FD"/>
    <w:rsid w:val="004E3E00"/>
    <w:rsid w:val="00524F49"/>
    <w:rsid w:val="005351AE"/>
    <w:rsid w:val="0057205A"/>
    <w:rsid w:val="00583FEF"/>
    <w:rsid w:val="005952F8"/>
    <w:rsid w:val="005E7D48"/>
    <w:rsid w:val="00601BE5"/>
    <w:rsid w:val="00613AE8"/>
    <w:rsid w:val="0062390D"/>
    <w:rsid w:val="00624BCD"/>
    <w:rsid w:val="0062757C"/>
    <w:rsid w:val="00632A8F"/>
    <w:rsid w:val="00634CF8"/>
    <w:rsid w:val="00640255"/>
    <w:rsid w:val="00647971"/>
    <w:rsid w:val="0066769A"/>
    <w:rsid w:val="00675407"/>
    <w:rsid w:val="006A0E40"/>
    <w:rsid w:val="006A1EDE"/>
    <w:rsid w:val="006B1D68"/>
    <w:rsid w:val="006F3344"/>
    <w:rsid w:val="006F5BBA"/>
    <w:rsid w:val="00702295"/>
    <w:rsid w:val="00740B49"/>
    <w:rsid w:val="00764540"/>
    <w:rsid w:val="00795ADC"/>
    <w:rsid w:val="007A7613"/>
    <w:rsid w:val="007C362E"/>
    <w:rsid w:val="007C6311"/>
    <w:rsid w:val="007C63BE"/>
    <w:rsid w:val="007D34F0"/>
    <w:rsid w:val="007F5E2B"/>
    <w:rsid w:val="00817EA0"/>
    <w:rsid w:val="00870214"/>
    <w:rsid w:val="008819FD"/>
    <w:rsid w:val="00886841"/>
    <w:rsid w:val="008915E5"/>
    <w:rsid w:val="008B2150"/>
    <w:rsid w:val="008C6D0D"/>
    <w:rsid w:val="008E139A"/>
    <w:rsid w:val="008E1B9D"/>
    <w:rsid w:val="008F30EC"/>
    <w:rsid w:val="00912769"/>
    <w:rsid w:val="009143B2"/>
    <w:rsid w:val="0091443D"/>
    <w:rsid w:val="00930FB0"/>
    <w:rsid w:val="00934AC4"/>
    <w:rsid w:val="00991679"/>
    <w:rsid w:val="009A3FE5"/>
    <w:rsid w:val="009D5D75"/>
    <w:rsid w:val="009E1618"/>
    <w:rsid w:val="009E6361"/>
    <w:rsid w:val="009F5D92"/>
    <w:rsid w:val="00A161E9"/>
    <w:rsid w:val="00A17DA8"/>
    <w:rsid w:val="00AB4A4B"/>
    <w:rsid w:val="00AD2C20"/>
    <w:rsid w:val="00B2036A"/>
    <w:rsid w:val="00B241FC"/>
    <w:rsid w:val="00B318D0"/>
    <w:rsid w:val="00B416D0"/>
    <w:rsid w:val="00B5161F"/>
    <w:rsid w:val="00B72A21"/>
    <w:rsid w:val="00B920FB"/>
    <w:rsid w:val="00BA0013"/>
    <w:rsid w:val="00BC3B70"/>
    <w:rsid w:val="00BE083D"/>
    <w:rsid w:val="00C06D88"/>
    <w:rsid w:val="00C15202"/>
    <w:rsid w:val="00C54A4F"/>
    <w:rsid w:val="00C57D55"/>
    <w:rsid w:val="00C772A1"/>
    <w:rsid w:val="00C90E7E"/>
    <w:rsid w:val="00CC6589"/>
    <w:rsid w:val="00CE1103"/>
    <w:rsid w:val="00CE3403"/>
    <w:rsid w:val="00CE507D"/>
    <w:rsid w:val="00D063AC"/>
    <w:rsid w:val="00D14B86"/>
    <w:rsid w:val="00D26BA5"/>
    <w:rsid w:val="00D2714E"/>
    <w:rsid w:val="00D27628"/>
    <w:rsid w:val="00D32C9D"/>
    <w:rsid w:val="00D469B2"/>
    <w:rsid w:val="00D51EDC"/>
    <w:rsid w:val="00D5681E"/>
    <w:rsid w:val="00D60752"/>
    <w:rsid w:val="00D628B7"/>
    <w:rsid w:val="00DA117F"/>
    <w:rsid w:val="00DB0705"/>
    <w:rsid w:val="00DB2777"/>
    <w:rsid w:val="00DB7E27"/>
    <w:rsid w:val="00DC4F68"/>
    <w:rsid w:val="00DC72A8"/>
    <w:rsid w:val="00DD7A76"/>
    <w:rsid w:val="00DE135B"/>
    <w:rsid w:val="00E32567"/>
    <w:rsid w:val="00E6592F"/>
    <w:rsid w:val="00E86147"/>
    <w:rsid w:val="00E95422"/>
    <w:rsid w:val="00E97751"/>
    <w:rsid w:val="00E97EFF"/>
    <w:rsid w:val="00EB3D77"/>
    <w:rsid w:val="00EE30B9"/>
    <w:rsid w:val="00EF1FC3"/>
    <w:rsid w:val="00F333B7"/>
    <w:rsid w:val="00F43A1D"/>
    <w:rsid w:val="00F6451F"/>
    <w:rsid w:val="00F64ED6"/>
    <w:rsid w:val="00F67539"/>
    <w:rsid w:val="00F71FAE"/>
    <w:rsid w:val="00F74D7B"/>
    <w:rsid w:val="00F82F0C"/>
    <w:rsid w:val="00F832B9"/>
    <w:rsid w:val="00F96D89"/>
    <w:rsid w:val="00FA3E1E"/>
    <w:rsid w:val="00FA7205"/>
    <w:rsid w:val="00FB7556"/>
    <w:rsid w:val="00FE33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7FE45B"/>
  <w15:chartTrackingRefBased/>
  <w15:docId w15:val="{9386CA7E-47FD-46CC-9ACC-C5120136C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E7E"/>
    <w:pPr>
      <w:spacing w:after="200" w:line="276" w:lineRule="auto"/>
    </w:pPr>
  </w:style>
  <w:style w:type="paragraph" w:styleId="Heading1">
    <w:name w:val="heading 1"/>
    <w:basedOn w:val="Normal"/>
    <w:next w:val="Normal"/>
    <w:link w:val="Heading1Char"/>
    <w:uiPriority w:val="9"/>
    <w:qFormat/>
    <w:rsid w:val="00C90E7E"/>
    <w:pPr>
      <w:jc w:val="center"/>
      <w:outlineLvl w:val="0"/>
    </w:pPr>
    <w:rPr>
      <w:rFonts w:ascii="Arial" w:hAnsi="Arial" w:cs="Arial"/>
      <w:b/>
      <w:bCs/>
      <w:sz w:val="28"/>
      <w:szCs w:val="28"/>
    </w:rPr>
  </w:style>
  <w:style w:type="paragraph" w:styleId="Heading2">
    <w:name w:val="heading 2"/>
    <w:basedOn w:val="ListParagraph"/>
    <w:next w:val="Normal"/>
    <w:link w:val="Heading2Char"/>
    <w:uiPriority w:val="9"/>
    <w:unhideWhenUsed/>
    <w:qFormat/>
    <w:rsid w:val="00FA7205"/>
    <w:pPr>
      <w:numPr>
        <w:numId w:val="2"/>
      </w:numPr>
      <w:outlineLvl w:val="1"/>
    </w:pPr>
    <w:rPr>
      <w:rFonts w:ascii="Arial" w:hAnsi="Arial" w:cs="Arial"/>
      <w:b/>
      <w:bCs/>
      <w:color w:val="7C5CA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0E7E"/>
    <w:rPr>
      <w:rFonts w:ascii="Arial" w:hAnsi="Arial" w:cs="Arial"/>
      <w:b/>
      <w:bCs/>
      <w:sz w:val="28"/>
      <w:szCs w:val="28"/>
    </w:rPr>
  </w:style>
  <w:style w:type="character" w:customStyle="1" w:styleId="Heading2Char">
    <w:name w:val="Heading 2 Char"/>
    <w:basedOn w:val="DefaultParagraphFont"/>
    <w:link w:val="Heading2"/>
    <w:uiPriority w:val="9"/>
    <w:rsid w:val="00FA7205"/>
    <w:rPr>
      <w:rFonts w:ascii="Arial" w:hAnsi="Arial" w:cs="Arial"/>
      <w:b/>
      <w:bCs/>
      <w:color w:val="7C5CA1"/>
      <w:sz w:val="28"/>
      <w:szCs w:val="28"/>
    </w:rPr>
  </w:style>
  <w:style w:type="paragraph" w:styleId="Header">
    <w:name w:val="header"/>
    <w:basedOn w:val="Normal"/>
    <w:link w:val="HeaderChar"/>
    <w:uiPriority w:val="99"/>
    <w:unhideWhenUsed/>
    <w:rsid w:val="00C90E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0E7E"/>
  </w:style>
  <w:style w:type="paragraph" w:styleId="Footer">
    <w:name w:val="footer"/>
    <w:basedOn w:val="Normal"/>
    <w:link w:val="FooterChar"/>
    <w:uiPriority w:val="99"/>
    <w:unhideWhenUsed/>
    <w:rsid w:val="00C90E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0E7E"/>
  </w:style>
  <w:style w:type="paragraph" w:styleId="ListParagraph">
    <w:name w:val="List Paragraph"/>
    <w:basedOn w:val="Normal"/>
    <w:uiPriority w:val="34"/>
    <w:qFormat/>
    <w:rsid w:val="00C90E7E"/>
    <w:pPr>
      <w:ind w:left="720"/>
      <w:contextualSpacing/>
    </w:pPr>
  </w:style>
  <w:style w:type="paragraph" w:styleId="TOCHeading">
    <w:name w:val="TOC Heading"/>
    <w:basedOn w:val="Heading1"/>
    <w:next w:val="Normal"/>
    <w:uiPriority w:val="39"/>
    <w:unhideWhenUsed/>
    <w:qFormat/>
    <w:rsid w:val="00F64ED6"/>
    <w:pPr>
      <w:keepNext/>
      <w:keepLines/>
      <w:spacing w:before="240" w:after="0" w:line="259" w:lineRule="auto"/>
      <w:jc w:val="left"/>
      <w:outlineLvl w:val="9"/>
    </w:pPr>
    <w:rPr>
      <w:rFonts w:asciiTheme="majorHAnsi" w:eastAsiaTheme="majorEastAsia" w:hAnsiTheme="majorHAnsi" w:cstheme="majorBidi"/>
      <w:b w:val="0"/>
      <w:bCs w:val="0"/>
      <w:color w:val="2F5496" w:themeColor="accent1" w:themeShade="BF"/>
      <w:sz w:val="32"/>
      <w:szCs w:val="32"/>
      <w:lang w:val="en-US"/>
    </w:rPr>
  </w:style>
  <w:style w:type="paragraph" w:styleId="TOC1">
    <w:name w:val="toc 1"/>
    <w:basedOn w:val="Normal"/>
    <w:next w:val="Normal"/>
    <w:autoRedefine/>
    <w:uiPriority w:val="39"/>
    <w:unhideWhenUsed/>
    <w:rsid w:val="00F64ED6"/>
    <w:pPr>
      <w:spacing w:after="100"/>
    </w:pPr>
  </w:style>
  <w:style w:type="character" w:styleId="Hyperlink">
    <w:name w:val="Hyperlink"/>
    <w:basedOn w:val="DefaultParagraphFont"/>
    <w:uiPriority w:val="99"/>
    <w:unhideWhenUsed/>
    <w:rsid w:val="00F64ED6"/>
    <w:rPr>
      <w:color w:val="0563C1" w:themeColor="hyperlink"/>
      <w:u w:val="single"/>
    </w:rPr>
  </w:style>
  <w:style w:type="table" w:styleId="TableGrid">
    <w:name w:val="Table Grid"/>
    <w:basedOn w:val="TableNormal"/>
    <w:uiPriority w:val="39"/>
    <w:rsid w:val="00287A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b.ward\AppData\Local\Microsoft\Windows\INetCache\Content.Outlook\2JOODT1H\Basic%20documen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C4126AB146D34AB2350A23199EDF49" ma:contentTypeVersion="4" ma:contentTypeDescription="Create a new document." ma:contentTypeScope="" ma:versionID="b71c7deff683e87d4d6dd408b3948f16">
  <xsd:schema xmlns:xsd="http://www.w3.org/2001/XMLSchema" xmlns:xs="http://www.w3.org/2001/XMLSchema" xmlns:p="http://schemas.microsoft.com/office/2006/metadata/properties" xmlns:ns2="e084e9b4-0e9f-46d1-8a7b-85b462d7279f" xmlns:ns3="97dba7ad-8585-41e1-8e9b-d9c0cde7b28e" targetNamespace="http://schemas.microsoft.com/office/2006/metadata/properties" ma:root="true" ma:fieldsID="8a9c40e869ea554c345288205f57b2ac" ns2:_="" ns3:_="">
    <xsd:import namespace="e084e9b4-0e9f-46d1-8a7b-85b462d7279f"/>
    <xsd:import namespace="97dba7ad-8585-41e1-8e9b-d9c0cde7b28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84e9b4-0e9f-46d1-8a7b-85b462d727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dba7ad-8585-41e1-8e9b-d9c0cde7b28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D78EF2-0683-4B0E-B6D6-05D898654A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84e9b4-0e9f-46d1-8a7b-85b462d7279f"/>
    <ds:schemaRef ds:uri="97dba7ad-8585-41e1-8e9b-d9c0cde7b2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8BA58A-DAD1-4D47-9E3B-F3B11051DE81}">
  <ds:schemaRefs>
    <ds:schemaRef ds:uri="http://schemas.openxmlformats.org/officeDocument/2006/bibliography"/>
  </ds:schemaRefs>
</ds:datastoreItem>
</file>

<file path=customXml/itemProps3.xml><?xml version="1.0" encoding="utf-8"?>
<ds:datastoreItem xmlns:ds="http://schemas.openxmlformats.org/officeDocument/2006/customXml" ds:itemID="{10567AB0-FD4E-407C-A950-7D985D5374B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D3F5F18-2030-4FBA-B120-A077AF80F1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Basic document template</Template>
  <TotalTime>4</TotalTime>
  <Pages>1</Pages>
  <Words>945</Words>
  <Characters>5390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Ward, Rob</dc:creator>
  <cp:keywords/>
  <dc:description/>
  <cp:lastModifiedBy>Broome, Anne</cp:lastModifiedBy>
  <cp:revision>6</cp:revision>
  <dcterms:created xsi:type="dcterms:W3CDTF">2023-05-02T13:18:00Z</dcterms:created>
  <dcterms:modified xsi:type="dcterms:W3CDTF">2023-05-02T13:28:00Z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02fffcc-0b75-4fc5-9391-81f23a104fec_Enabled">
    <vt:lpwstr>true</vt:lpwstr>
  </property>
  <property fmtid="{D5CDD505-2E9C-101B-9397-08002B2CF9AE}" pid="3" name="MSIP_Label_002fffcc-0b75-4fc5-9391-81f23a104fec_SetDate">
    <vt:lpwstr>2023-01-19T09:24:37Z</vt:lpwstr>
  </property>
  <property fmtid="{D5CDD505-2E9C-101B-9397-08002B2CF9AE}" pid="4" name="MSIP_Label_002fffcc-0b75-4fc5-9391-81f23a104fec_Method">
    <vt:lpwstr>Privileged</vt:lpwstr>
  </property>
  <property fmtid="{D5CDD505-2E9C-101B-9397-08002B2CF9AE}" pid="5" name="MSIP_Label_002fffcc-0b75-4fc5-9391-81f23a104fec_Name">
    <vt:lpwstr>OFFICIAL (not marked)</vt:lpwstr>
  </property>
  <property fmtid="{D5CDD505-2E9C-101B-9397-08002B2CF9AE}" pid="6" name="MSIP_Label_002fffcc-0b75-4fc5-9391-81f23a104fec_SiteId">
    <vt:lpwstr>ee032e7f-73e4-457a-a0c4-cfbe17e33ceb</vt:lpwstr>
  </property>
  <property fmtid="{D5CDD505-2E9C-101B-9397-08002B2CF9AE}" pid="7" name="MSIP_Label_002fffcc-0b75-4fc5-9391-81f23a104fec_ActionId">
    <vt:lpwstr>ea72f3ef-5f50-4b3c-92ec-dd79c017473f</vt:lpwstr>
  </property>
  <property fmtid="{D5CDD505-2E9C-101B-9397-08002B2CF9AE}" pid="8" name="MSIP_Label_002fffcc-0b75-4fc5-9391-81f23a104fec_ContentBits">
    <vt:lpwstr>0</vt:lpwstr>
  </property>
  <property fmtid="{D5CDD505-2E9C-101B-9397-08002B2CF9AE}" pid="9" name="ContentTypeId">
    <vt:lpwstr>0x01010048C4126AB146D34AB2350A23199EDF49</vt:lpwstr>
  </property>
</Properties>
</file>