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789" w:rsidP="41D7E7DC" w:rsidRDefault="004A65FD" w14:paraId="2A5C475C" w14:textId="57F9F22D">
      <w:pPr>
        <w:pStyle w:val="Heading1"/>
        <w:tabs>
          <w:tab w:val="left" w:pos="1320"/>
          <w:tab w:val="center" w:pos="4513"/>
        </w:tabs>
        <w:ind w:firstLine="0"/>
        <w:jc w:val="center"/>
      </w:pPr>
      <w:bookmarkStart w:name="_Toc125012774" w:id="0"/>
      <w:bookmarkEnd w:id="0"/>
      <w:r w:rsidR="00511777">
        <w:rPr/>
        <w:t>Terms of Reference</w:t>
      </w:r>
    </w:p>
    <w:p w:rsidR="00C90E7E" w:rsidP="00C90E7E" w:rsidRDefault="00511777" w14:paraId="312A5F5A" w14:textId="7DB7CAA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Operations Subgroup</w:t>
      </w:r>
    </w:p>
    <w:p w:rsidR="005A21BD" w:rsidP="005A21BD" w:rsidRDefault="005A21BD" w14:paraId="0EE7677B" w14:textId="5E798D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1129"/>
        <w:gridCol w:w="1030"/>
        <w:gridCol w:w="3229"/>
        <w:gridCol w:w="1426"/>
        <w:gridCol w:w="1499"/>
      </w:tblGrid>
      <w:tr w:rsidRPr="00537A57" w:rsidR="005A21BD" w:rsidTr="7121CDEA" w14:paraId="719691DB" w14:textId="77777777">
        <w:tc>
          <w:tcPr>
            <w:tcW w:w="703" w:type="dxa"/>
            <w:shd w:val="clear" w:color="auto" w:fill="E7E6E6" w:themeFill="background2"/>
            <w:tcMar/>
          </w:tcPr>
          <w:p w:rsidRPr="00537A57" w:rsidR="005A21BD" w:rsidP="005A21BD" w:rsidRDefault="005A21BD" w14:paraId="3B9F7AD9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>Rev</w:t>
            </w:r>
          </w:p>
        </w:tc>
        <w:tc>
          <w:tcPr>
            <w:tcW w:w="1129" w:type="dxa"/>
            <w:shd w:val="clear" w:color="auto" w:fill="E7E6E6" w:themeFill="background2"/>
            <w:tcMar/>
          </w:tcPr>
          <w:p w:rsidRPr="00537A57" w:rsidR="005A21BD" w:rsidP="005A21BD" w:rsidRDefault="005A21BD" w14:paraId="7038A5E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030" w:type="dxa"/>
            <w:shd w:val="clear" w:color="auto" w:fill="E7E6E6" w:themeFill="background2"/>
            <w:tcMar/>
          </w:tcPr>
          <w:p w:rsidRPr="00537A57" w:rsidR="005A21BD" w:rsidP="005A21BD" w:rsidRDefault="005A21BD" w14:paraId="48409AC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3229" w:type="dxa"/>
            <w:shd w:val="clear" w:color="auto" w:fill="E7E6E6" w:themeFill="background2"/>
            <w:tcMar/>
          </w:tcPr>
          <w:p w:rsidRPr="00537A57" w:rsidR="005A21BD" w:rsidP="005A21BD" w:rsidRDefault="005A21BD" w14:paraId="717EAFD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26" w:type="dxa"/>
            <w:shd w:val="clear" w:color="auto" w:fill="E7E6E6" w:themeFill="background2"/>
            <w:tcMar/>
          </w:tcPr>
          <w:p w:rsidRPr="00537A57" w:rsidR="005A21BD" w:rsidP="005A21BD" w:rsidRDefault="005A21BD" w14:paraId="242BB18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>Owner</w:t>
            </w:r>
          </w:p>
        </w:tc>
        <w:tc>
          <w:tcPr>
            <w:tcW w:w="1499" w:type="dxa"/>
            <w:shd w:val="clear" w:color="auto" w:fill="E7E6E6" w:themeFill="background2"/>
            <w:tcMar/>
          </w:tcPr>
          <w:p w:rsidRPr="00537A57" w:rsidR="005A21BD" w:rsidP="005A21BD" w:rsidRDefault="005A21BD" w14:paraId="3B456DE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37A57">
              <w:rPr>
                <w:rFonts w:ascii="Arial" w:hAnsi="Arial" w:cs="Arial"/>
                <w:b/>
                <w:bCs/>
              </w:rPr>
              <w:t xml:space="preserve">Approver </w:t>
            </w:r>
          </w:p>
        </w:tc>
      </w:tr>
      <w:tr w:rsidR="005A21BD" w:rsidTr="7121CDEA" w14:paraId="68584879" w14:textId="77777777">
        <w:tc>
          <w:tcPr>
            <w:tcW w:w="703" w:type="dxa"/>
            <w:tcMar/>
          </w:tcPr>
          <w:p w:rsidRPr="00537A57" w:rsidR="005A21BD" w:rsidP="005A21BD" w:rsidRDefault="005A21BD" w14:paraId="3866755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A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9" w:type="dxa"/>
            <w:tcMar/>
          </w:tcPr>
          <w:p w:rsidRPr="00537A57" w:rsidR="005A21BD" w:rsidP="005A21BD" w:rsidRDefault="00133156" w14:paraId="4DAFA0E2" w14:textId="354AFF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2023</w:t>
            </w:r>
          </w:p>
        </w:tc>
        <w:tc>
          <w:tcPr>
            <w:tcW w:w="1030" w:type="dxa"/>
            <w:tcMar/>
          </w:tcPr>
          <w:p w:rsidRPr="00537A57" w:rsidR="005A21BD" w:rsidP="005A21BD" w:rsidRDefault="005A21BD" w14:paraId="65BBCCA0" w14:textId="664017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  <w:tc>
          <w:tcPr>
            <w:tcW w:w="3229" w:type="dxa"/>
            <w:tcMar/>
          </w:tcPr>
          <w:p w:rsidRPr="00537A57" w:rsidR="005A21BD" w:rsidP="005A21BD" w:rsidRDefault="005A21BD" w14:paraId="70A5FDC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A57">
              <w:rPr>
                <w:rFonts w:ascii="Arial" w:hAnsi="Arial" w:cs="Arial"/>
                <w:sz w:val="20"/>
                <w:szCs w:val="20"/>
              </w:rPr>
              <w:t xml:space="preserve">Document created </w:t>
            </w:r>
          </w:p>
        </w:tc>
        <w:tc>
          <w:tcPr>
            <w:tcW w:w="1426" w:type="dxa"/>
            <w:tcMar/>
          </w:tcPr>
          <w:p w:rsidRPr="00537A57" w:rsidR="005A21BD" w:rsidP="005A21BD" w:rsidRDefault="005A21BD" w14:paraId="2B04909C" w14:textId="2ED49A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Ward</w:t>
            </w:r>
          </w:p>
        </w:tc>
        <w:tc>
          <w:tcPr>
            <w:tcW w:w="1499" w:type="dxa"/>
            <w:tcMar/>
          </w:tcPr>
          <w:p w:rsidRPr="00537A57" w:rsidR="005A21BD" w:rsidP="005A21BD" w:rsidRDefault="005A21BD" w14:paraId="692C6CD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1BD" w:rsidTr="7121CDEA" w14:paraId="0036692C" w14:textId="77777777">
        <w:tc>
          <w:tcPr>
            <w:tcW w:w="703" w:type="dxa"/>
            <w:tcMar/>
          </w:tcPr>
          <w:p w:rsidRPr="00537A57" w:rsidR="005A21BD" w:rsidP="005A21BD" w:rsidRDefault="0078262B" w14:paraId="1DE13807" w14:textId="449DE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  <w:tcMar/>
          </w:tcPr>
          <w:p w:rsidRPr="00537A57" w:rsidR="005A21BD" w:rsidP="005A21BD" w:rsidRDefault="0078262B" w14:paraId="642F37DD" w14:textId="42ADD3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2023</w:t>
            </w:r>
          </w:p>
        </w:tc>
        <w:tc>
          <w:tcPr>
            <w:tcW w:w="1030" w:type="dxa"/>
            <w:tcMar/>
          </w:tcPr>
          <w:p w:rsidRPr="00537A57" w:rsidR="005A21BD" w:rsidP="005A21BD" w:rsidRDefault="0078262B" w14:paraId="027EF287" w14:textId="677113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  <w:tc>
          <w:tcPr>
            <w:tcW w:w="3229" w:type="dxa"/>
            <w:tcMar/>
          </w:tcPr>
          <w:p w:rsidRPr="00537A57" w:rsidR="005A21BD" w:rsidP="005A21BD" w:rsidRDefault="0078262B" w14:paraId="5B2AE555" w14:textId="1899C1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following Legal review</w:t>
            </w:r>
          </w:p>
        </w:tc>
        <w:tc>
          <w:tcPr>
            <w:tcW w:w="1426" w:type="dxa"/>
            <w:tcMar/>
          </w:tcPr>
          <w:p w:rsidRPr="00537A57" w:rsidR="005A21BD" w:rsidP="005A21BD" w:rsidRDefault="0078262B" w14:paraId="17ACC1E1" w14:textId="3406B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Ward</w:t>
            </w:r>
          </w:p>
        </w:tc>
        <w:tc>
          <w:tcPr>
            <w:tcW w:w="1499" w:type="dxa"/>
            <w:tcMar/>
          </w:tcPr>
          <w:p w:rsidRPr="00537A57" w:rsidR="005A21BD" w:rsidP="005A21BD" w:rsidRDefault="005A21BD" w14:paraId="5996909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1BD" w:rsidTr="7121CDEA" w14:paraId="7156376B" w14:textId="77777777">
        <w:tc>
          <w:tcPr>
            <w:tcW w:w="703" w:type="dxa"/>
            <w:tcMar/>
          </w:tcPr>
          <w:p w:rsidRPr="00537A57" w:rsidR="005A21BD" w:rsidP="005A21BD" w:rsidRDefault="00E60274" w14:paraId="426D6ED0" w14:textId="513475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  <w:tcMar/>
          </w:tcPr>
          <w:p w:rsidRPr="00537A57" w:rsidR="005A21BD" w:rsidP="005A21BD" w:rsidRDefault="00E60274" w14:paraId="7B40F362" w14:textId="0262C6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2023</w:t>
            </w:r>
          </w:p>
        </w:tc>
        <w:tc>
          <w:tcPr>
            <w:tcW w:w="1030" w:type="dxa"/>
            <w:tcMar/>
          </w:tcPr>
          <w:p w:rsidRPr="00537A57" w:rsidR="005A21BD" w:rsidP="005A21BD" w:rsidRDefault="00E60274" w14:paraId="05C5EC51" w14:textId="40CA8F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</w:t>
            </w:r>
          </w:p>
        </w:tc>
        <w:tc>
          <w:tcPr>
            <w:tcW w:w="3229" w:type="dxa"/>
            <w:tcMar/>
          </w:tcPr>
          <w:p w:rsidRPr="00537A57" w:rsidR="005A21BD" w:rsidP="005A21BD" w:rsidRDefault="00E60274" w14:paraId="1507A0B1" w14:textId="6C09C8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to include comments from John S</w:t>
            </w:r>
          </w:p>
        </w:tc>
        <w:tc>
          <w:tcPr>
            <w:tcW w:w="1426" w:type="dxa"/>
            <w:tcMar/>
          </w:tcPr>
          <w:p w:rsidRPr="00537A57" w:rsidR="005A21BD" w:rsidP="005A21BD" w:rsidRDefault="005A21BD" w14:paraId="60AC61C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Mar/>
          </w:tcPr>
          <w:p w:rsidRPr="00537A57" w:rsidR="005A21BD" w:rsidP="005A21BD" w:rsidRDefault="005A21BD" w14:paraId="50308B2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703" w:rsidTr="7121CDEA" w14:paraId="2DD7925E" w14:textId="77777777">
        <w:tc>
          <w:tcPr>
            <w:tcW w:w="703" w:type="dxa"/>
            <w:tcMar/>
          </w:tcPr>
          <w:p w:rsidR="008D5703" w:rsidP="005A21BD" w:rsidRDefault="008D5703" w14:paraId="0CBDD68B" w14:textId="76FD0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29" w:type="dxa"/>
            <w:tcMar/>
          </w:tcPr>
          <w:p w:rsidR="008D5703" w:rsidP="005A21BD" w:rsidRDefault="008D5703" w14:paraId="69DC4FB6" w14:textId="279C9A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2024</w:t>
            </w:r>
          </w:p>
        </w:tc>
        <w:tc>
          <w:tcPr>
            <w:tcW w:w="1030" w:type="dxa"/>
            <w:tcMar/>
          </w:tcPr>
          <w:p w:rsidR="008D5703" w:rsidP="005A21BD" w:rsidRDefault="005913D4" w14:paraId="43EAE251" w14:textId="34D71A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</w:t>
            </w:r>
          </w:p>
        </w:tc>
        <w:tc>
          <w:tcPr>
            <w:tcW w:w="3229" w:type="dxa"/>
            <w:tcMar/>
          </w:tcPr>
          <w:p w:rsidR="008D5703" w:rsidP="005A21BD" w:rsidRDefault="005913D4" w14:paraId="24F9182A" w14:textId="66EED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</w:t>
            </w:r>
            <w:r w:rsidR="00274A97">
              <w:rPr>
                <w:rFonts w:ascii="Arial" w:hAnsi="Arial" w:cs="Arial"/>
                <w:sz w:val="20"/>
                <w:szCs w:val="20"/>
              </w:rPr>
              <w:t xml:space="preserve"> from subgroup meeting </w:t>
            </w:r>
          </w:p>
        </w:tc>
        <w:tc>
          <w:tcPr>
            <w:tcW w:w="1426" w:type="dxa"/>
            <w:tcMar/>
          </w:tcPr>
          <w:p w:rsidRPr="00537A57" w:rsidR="008D5703" w:rsidP="005A21BD" w:rsidRDefault="005913D4" w14:paraId="0320DBD4" w14:textId="457A2C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Broome</w:t>
            </w:r>
          </w:p>
        </w:tc>
        <w:tc>
          <w:tcPr>
            <w:tcW w:w="1499" w:type="dxa"/>
            <w:tcMar/>
          </w:tcPr>
          <w:p w:rsidRPr="00537A57" w:rsidR="008D5703" w:rsidP="005A21BD" w:rsidRDefault="008D5703" w14:paraId="1E9DFBF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237" w:rsidTr="7121CDEA" w14:paraId="613E4AD4" w14:textId="77777777">
        <w:tc>
          <w:tcPr>
            <w:tcW w:w="703" w:type="dxa"/>
            <w:tcMar/>
          </w:tcPr>
          <w:p w:rsidR="006E0237" w:rsidP="005A21BD" w:rsidRDefault="006E0237" w14:paraId="3A7D6BB5" w14:textId="5695E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9" w:type="dxa"/>
            <w:tcMar/>
          </w:tcPr>
          <w:p w:rsidR="006E0237" w:rsidP="005A21BD" w:rsidRDefault="006E0237" w14:paraId="7899BF0A" w14:textId="3F957C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2024</w:t>
            </w:r>
          </w:p>
        </w:tc>
        <w:tc>
          <w:tcPr>
            <w:tcW w:w="1030" w:type="dxa"/>
            <w:tcMar/>
          </w:tcPr>
          <w:p w:rsidR="006E0237" w:rsidP="005A21BD" w:rsidRDefault="006E0237" w14:paraId="3D42DCFE" w14:textId="2816A0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V4.1</w:t>
            </w:r>
          </w:p>
        </w:tc>
        <w:tc>
          <w:tcPr>
            <w:tcW w:w="3229" w:type="dxa"/>
            <w:tcMar/>
          </w:tcPr>
          <w:p w:rsidR="006E0237" w:rsidP="005A21BD" w:rsidRDefault="006E0237" w14:paraId="4924C793" w14:textId="6D606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from subgroup meeting</w:t>
            </w:r>
          </w:p>
        </w:tc>
        <w:tc>
          <w:tcPr>
            <w:tcW w:w="1426" w:type="dxa"/>
            <w:tcMar/>
          </w:tcPr>
          <w:p w:rsidR="006E0237" w:rsidP="005A21BD" w:rsidRDefault="006E0237" w14:paraId="2309414C" w14:textId="500692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Broome</w:t>
            </w:r>
          </w:p>
        </w:tc>
        <w:tc>
          <w:tcPr>
            <w:tcW w:w="1499" w:type="dxa"/>
            <w:tcMar/>
          </w:tcPr>
          <w:p w:rsidRPr="00537A57" w:rsidR="006E0237" w:rsidP="005A21BD" w:rsidRDefault="006E0237" w14:paraId="351AD3D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803" w:rsidTr="7121CDEA" w14:paraId="0BECFE3F" w14:textId="77777777">
        <w:trPr>
          <w:trHeight w:val="300"/>
        </w:trPr>
        <w:tc>
          <w:tcPr>
            <w:tcW w:w="703" w:type="dxa"/>
            <w:tcMar/>
          </w:tcPr>
          <w:p w:rsidR="00610803" w:rsidP="005A21BD" w:rsidRDefault="00610803" w14:paraId="7FED6C0F" w14:textId="3681BB22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61080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9" w:type="dxa"/>
            <w:tcMar/>
          </w:tcPr>
          <w:p w:rsidR="00610803" w:rsidP="005A21BD" w:rsidRDefault="00E969A8" w14:paraId="525774AF" w14:textId="7AEEC373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E969A8">
              <w:rPr>
                <w:rFonts w:ascii="Arial" w:hAnsi="Arial" w:cs="Arial"/>
                <w:sz w:val="20"/>
                <w:szCs w:val="20"/>
              </w:rPr>
              <w:t>April 2024</w:t>
            </w:r>
          </w:p>
        </w:tc>
        <w:tc>
          <w:tcPr>
            <w:tcW w:w="1030" w:type="dxa"/>
            <w:tcMar/>
          </w:tcPr>
          <w:p w:rsidR="00610803" w:rsidP="005A21BD" w:rsidRDefault="00610803" w14:paraId="00243385" w14:textId="3D9EC6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16CD762B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3229" w:type="dxa"/>
            <w:tcMar/>
          </w:tcPr>
          <w:p w:rsidR="0094618F" w:rsidP="005A21BD" w:rsidRDefault="005E2ACA" w14:paraId="1A807054" w14:textId="48DECD7F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5E2ACA">
              <w:rPr>
                <w:rFonts w:ascii="Arial" w:hAnsi="Arial" w:cs="Arial"/>
                <w:sz w:val="20"/>
                <w:szCs w:val="20"/>
              </w:rPr>
              <w:t>Approved</w:t>
            </w:r>
            <w:r w:rsidRPr="7121CDEA" w:rsidR="0094618F">
              <w:rPr>
                <w:rFonts w:ascii="Arial" w:hAnsi="Arial" w:cs="Arial"/>
                <w:sz w:val="20"/>
                <w:szCs w:val="20"/>
              </w:rPr>
              <w:t>11/4/24</w:t>
            </w:r>
          </w:p>
          <w:p w:rsidR="00610803" w:rsidP="005A21BD" w:rsidRDefault="005E2ACA" w14:paraId="07D935E9" w14:textId="25D4BE51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5E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121CDEA" w:rsidR="0094618F">
              <w:rPr>
                <w:rFonts w:ascii="Arial" w:hAnsi="Arial" w:cs="Arial"/>
                <w:sz w:val="20"/>
                <w:szCs w:val="20"/>
              </w:rPr>
              <w:t>For review April 2025</w:t>
            </w:r>
          </w:p>
        </w:tc>
        <w:tc>
          <w:tcPr>
            <w:tcW w:w="1426" w:type="dxa"/>
            <w:tcMar/>
          </w:tcPr>
          <w:p w:rsidR="00610803" w:rsidP="005A21BD" w:rsidRDefault="005E2ACA" w14:paraId="32F5CECA" w14:textId="1CBD595A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5E2ACA">
              <w:rPr>
                <w:rFonts w:ascii="Arial" w:hAnsi="Arial" w:cs="Arial"/>
                <w:sz w:val="20"/>
                <w:szCs w:val="20"/>
              </w:rPr>
              <w:t>Anne B</w:t>
            </w:r>
            <w:r w:rsidRPr="7121CDEA" w:rsidR="005E2ACA">
              <w:rPr>
                <w:rFonts w:ascii="Arial" w:hAnsi="Arial" w:cs="Arial"/>
                <w:sz w:val="20"/>
                <w:szCs w:val="20"/>
              </w:rPr>
              <w:t>roome</w:t>
            </w:r>
          </w:p>
        </w:tc>
        <w:tc>
          <w:tcPr>
            <w:tcW w:w="1499" w:type="dxa"/>
            <w:tcMar/>
          </w:tcPr>
          <w:p w:rsidRPr="00537A57" w:rsidR="00610803" w:rsidP="005A21BD" w:rsidRDefault="0094618F" w14:paraId="1B0AE482" w14:textId="42F4EAC1" w14:noSpellErr="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121CDEA" w:rsidR="0094618F">
              <w:rPr>
                <w:rFonts w:ascii="Arial" w:hAnsi="Arial" w:cs="Arial"/>
                <w:sz w:val="20"/>
                <w:szCs w:val="20"/>
              </w:rPr>
              <w:t xml:space="preserve">Operations subgroup </w:t>
            </w:r>
          </w:p>
        </w:tc>
      </w:tr>
    </w:tbl>
    <w:p w:rsidR="005A21BD" w:rsidP="005A21BD" w:rsidRDefault="005A21BD" w14:paraId="782EEF4E" w14:textId="77777777"/>
    <w:p w:rsidRPr="00FA7205" w:rsidR="00C90E7E" w:rsidP="00BD7C29" w:rsidRDefault="00204D6A" w14:paraId="37A93AA7" w14:textId="417493CD">
      <w:pPr>
        <w:pStyle w:val="Heading2"/>
        <w:ind w:left="709" w:hanging="709"/>
      </w:pPr>
      <w:r>
        <w:t>Introduction</w:t>
      </w:r>
    </w:p>
    <w:p w:rsidR="00C90E7E" w:rsidP="00C90E7E" w:rsidRDefault="00BD7C29" w14:paraId="723BDE0D" w14:textId="4F328099">
      <w:r w:rsidRPr="00BD7C29">
        <w:t xml:space="preserve">These Terms of reference must be </w:t>
      </w:r>
      <w:r>
        <w:t>read</w:t>
      </w:r>
      <w:r w:rsidRPr="00BD7C29">
        <w:t xml:space="preserve"> in conjunction with the overarching Terms of Reference for Subgroups.</w:t>
      </w:r>
    </w:p>
    <w:p w:rsidR="00C90E7E" w:rsidP="00BD7C29" w:rsidRDefault="00204D6A" w14:paraId="28D702DF" w14:textId="016DB30A">
      <w:pPr>
        <w:pStyle w:val="Heading2"/>
        <w:ind w:left="709" w:hanging="709"/>
      </w:pPr>
      <w:r>
        <w:t>Scope</w:t>
      </w:r>
    </w:p>
    <w:p w:rsidR="00180333" w:rsidP="00180333" w:rsidRDefault="00180333" w14:paraId="2FB6FBDB" w14:textId="77777777">
      <w:r>
        <w:t>To develop and implement Operational Activities including but not limited to:</w:t>
      </w:r>
    </w:p>
    <w:p w:rsidR="00180333" w:rsidP="00180333" w:rsidRDefault="00F24A1B" w14:paraId="19E8BFF3" w14:textId="583BB627">
      <w:pPr>
        <w:pStyle w:val="ListParagraph"/>
        <w:numPr>
          <w:ilvl w:val="0"/>
          <w:numId w:val="10"/>
        </w:numPr>
      </w:pPr>
      <w:r>
        <w:t xml:space="preserve">Management of processes relating to </w:t>
      </w:r>
      <w:r w:rsidR="00180333">
        <w:t>Chair Recruitment</w:t>
      </w:r>
    </w:p>
    <w:p w:rsidR="00886599" w:rsidP="00886599" w:rsidRDefault="00F24A1B" w14:paraId="2171127B" w14:textId="26CE573D">
      <w:pPr>
        <w:pStyle w:val="ListParagraph"/>
        <w:numPr>
          <w:ilvl w:val="0"/>
          <w:numId w:val="10"/>
        </w:numPr>
      </w:pPr>
      <w:r>
        <w:t xml:space="preserve">Management of processes relating to </w:t>
      </w:r>
      <w:r w:rsidR="00180333">
        <w:t>Community Partnership Membership</w:t>
      </w:r>
    </w:p>
    <w:p w:rsidRPr="005570F0" w:rsidR="00354942" w:rsidP="00886599" w:rsidRDefault="00354942" w14:paraId="637F13B3" w14:textId="19EA587E" w14:noSpellErr="1">
      <w:pPr>
        <w:pStyle w:val="ListParagraph"/>
        <w:numPr>
          <w:ilvl w:val="0"/>
          <w:numId w:val="10"/>
        </w:numPr>
        <w:rPr/>
      </w:pPr>
      <w:r w:rsidR="00354942">
        <w:rPr/>
        <w:t xml:space="preserve">Development and Management of all </w:t>
      </w:r>
      <w:r w:rsidR="009345ED">
        <w:rPr/>
        <w:t xml:space="preserve">Community Partnership processes &amp; procedures </w:t>
      </w:r>
    </w:p>
    <w:p w:rsidRPr="005570F0" w:rsidR="00886599" w:rsidP="00886599" w:rsidRDefault="00833C2B" w14:paraId="6B26DBC0" w14:textId="79ED8F26" w14:noSpellErr="1">
      <w:pPr>
        <w:pStyle w:val="ListParagraph"/>
        <w:numPr>
          <w:ilvl w:val="0"/>
          <w:numId w:val="10"/>
        </w:numPr>
        <w:rPr/>
      </w:pPr>
      <w:r w:rsidR="00833C2B">
        <w:rPr/>
        <w:t>T</w:t>
      </w:r>
      <w:r w:rsidR="00886599">
        <w:rPr/>
        <w:t>he Membership panel will be</w:t>
      </w:r>
      <w:r w:rsidR="00833C2B">
        <w:rPr/>
        <w:t xml:space="preserve"> a subset </w:t>
      </w:r>
      <w:r w:rsidR="008602B7">
        <w:rPr/>
        <w:t xml:space="preserve">of </w:t>
      </w:r>
      <w:r w:rsidR="00886599">
        <w:rPr/>
        <w:t>this subgroup</w:t>
      </w:r>
      <w:r w:rsidR="008602B7">
        <w:rPr/>
        <w:t>.</w:t>
      </w:r>
    </w:p>
    <w:p w:rsidR="00F24A1B" w:rsidP="00F24A1B" w:rsidRDefault="00F24A1B" w14:paraId="4F67D846" w14:textId="6FED0DE8">
      <w:pPr>
        <w:pStyle w:val="ListParagraph"/>
        <w:numPr>
          <w:ilvl w:val="0"/>
          <w:numId w:val="10"/>
        </w:numPr>
      </w:pPr>
      <w:r>
        <w:t xml:space="preserve">Management of changes to Community Partnership Agreement/Terms of Reference  </w:t>
      </w:r>
    </w:p>
    <w:p w:rsidR="00454CC3" w:rsidP="00454CC3" w:rsidRDefault="00454CC3" w14:paraId="01E6B7C0" w14:textId="648967D8">
      <w:pPr>
        <w:pStyle w:val="ListParagraph"/>
        <w:numPr>
          <w:ilvl w:val="0"/>
          <w:numId w:val="10"/>
        </w:numPr>
      </w:pPr>
      <w:r>
        <w:t>Development of a Programme of Activities and progress reporting</w:t>
      </w:r>
    </w:p>
    <w:p w:rsidR="00180333" w:rsidP="00180333" w:rsidRDefault="005669AE" w14:paraId="00309805" w14:textId="79DE1A7F">
      <w:pPr>
        <w:pStyle w:val="ListParagraph"/>
        <w:numPr>
          <w:ilvl w:val="0"/>
          <w:numId w:val="10"/>
        </w:numPr>
      </w:pPr>
      <w:r>
        <w:t>E</w:t>
      </w:r>
      <w:r w:rsidR="00424AEA">
        <w:t>xit strategy a</w:t>
      </w:r>
      <w:r w:rsidR="00086DD2">
        <w:t xml:space="preserve">rrangements for </w:t>
      </w:r>
      <w:r w:rsidR="003B43CD">
        <w:t>Withdrawal</w:t>
      </w:r>
      <w:r w:rsidR="00EF65E7">
        <w:t xml:space="preserve"> from the GDF siting </w:t>
      </w:r>
      <w:proofErr w:type="gramStart"/>
      <w:r w:rsidR="00EF65E7">
        <w:t>process</w:t>
      </w:r>
      <w:proofErr w:type="gramEnd"/>
    </w:p>
    <w:p w:rsidR="00180333" w:rsidP="00180333" w:rsidRDefault="005669AE" w14:paraId="6344ACCA" w14:textId="46FBF723">
      <w:pPr>
        <w:pStyle w:val="ListParagraph"/>
        <w:numPr>
          <w:ilvl w:val="0"/>
          <w:numId w:val="10"/>
        </w:numPr>
      </w:pPr>
      <w:r>
        <w:t>A</w:t>
      </w:r>
      <w:r w:rsidR="00086DD2">
        <w:t xml:space="preserve">rrangement for a </w:t>
      </w:r>
      <w:r w:rsidR="00180333">
        <w:t>Test of Public Support</w:t>
      </w:r>
    </w:p>
    <w:p w:rsidR="00180333" w:rsidP="00180333" w:rsidRDefault="00086DD2" w14:paraId="5CA5AB55" w14:textId="7E8D019F">
      <w:pPr>
        <w:pStyle w:val="ListParagraph"/>
        <w:numPr>
          <w:ilvl w:val="0"/>
          <w:numId w:val="10"/>
        </w:numPr>
      </w:pPr>
      <w:r>
        <w:t xml:space="preserve">Partnership </w:t>
      </w:r>
      <w:r w:rsidR="00180333">
        <w:t>Meeting Planning</w:t>
      </w:r>
    </w:p>
    <w:p w:rsidR="00204D6A" w:rsidP="00BD7C29" w:rsidRDefault="00936820" w14:paraId="5E7424F0" w14:textId="3C21D1CB">
      <w:pPr>
        <w:pStyle w:val="Heading2"/>
        <w:ind w:left="709" w:hanging="709"/>
      </w:pPr>
      <w:r>
        <w:t>Membership</w:t>
      </w:r>
    </w:p>
    <w:p w:rsidRPr="00FA7B8A" w:rsidR="00936820" w:rsidP="00936820" w:rsidRDefault="00936820" w14:paraId="787A37D4" w14:textId="0D03377E">
      <w:pPr>
        <w:rPr>
          <w:b/>
          <w:bCs/>
          <w:sz w:val="24"/>
          <w:szCs w:val="24"/>
        </w:rPr>
      </w:pPr>
      <w:r w:rsidRPr="00FA7B8A">
        <w:rPr>
          <w:b/>
          <w:bCs/>
          <w:sz w:val="24"/>
          <w:szCs w:val="24"/>
        </w:rPr>
        <w:t>Chair</w:t>
      </w:r>
    </w:p>
    <w:p w:rsidR="00936820" w:rsidP="00936820" w:rsidRDefault="00FA7B8A" w14:paraId="4F7486BC" w14:textId="157E38C1">
      <w:r w:rsidRPr="00FA7B8A">
        <w:t>The Chair of the Subgroup will regularly report to the Community Partnership on the progress of the Subgroup</w:t>
      </w:r>
      <w:r w:rsidR="001103A5">
        <w:t>, including any</w:t>
      </w:r>
      <w:r w:rsidRPr="00FA7B8A">
        <w:t xml:space="preserve"> decisions</w:t>
      </w:r>
      <w:r w:rsidR="001103A5">
        <w:t xml:space="preserve"> taken</w:t>
      </w:r>
      <w:r w:rsidRPr="00FA7B8A">
        <w:t xml:space="preserve"> and recommendations made.</w:t>
      </w:r>
    </w:p>
    <w:p w:rsidRPr="00FA7B8A" w:rsidR="00936820" w:rsidP="00936820" w:rsidRDefault="00936820" w14:paraId="71AA8702" w14:textId="592EC767">
      <w:pPr>
        <w:rPr>
          <w:b/>
          <w:bCs/>
          <w:sz w:val="24"/>
          <w:szCs w:val="24"/>
        </w:rPr>
      </w:pPr>
      <w:r w:rsidRPr="00FA7B8A">
        <w:rPr>
          <w:b/>
          <w:bCs/>
          <w:sz w:val="24"/>
          <w:szCs w:val="24"/>
        </w:rPr>
        <w:t>Membership</w:t>
      </w:r>
    </w:p>
    <w:p w:rsidRPr="003B7529" w:rsidR="001103A5" w:rsidP="001103A5" w:rsidRDefault="001103A5" w14:paraId="1AF24923" w14:textId="45B08880">
      <w:r w:rsidRPr="003B7529">
        <w:t>Initial Subgroup members</w:t>
      </w:r>
      <w:r w:rsidRPr="003B7529" w:rsidR="00807B50">
        <w:t>hip shall be</w:t>
      </w:r>
      <w:r w:rsidRPr="003B7529">
        <w:t xml:space="preserve">: </w:t>
      </w:r>
    </w:p>
    <w:p w:rsidRPr="003B7529" w:rsidR="001103A5" w:rsidP="003B7529" w:rsidRDefault="001103A5" w14:paraId="5BEC9622" w14:textId="2D2CB9D8">
      <w:pPr>
        <w:pStyle w:val="ListParagraph"/>
        <w:numPr>
          <w:ilvl w:val="0"/>
          <w:numId w:val="12"/>
        </w:numPr>
      </w:pPr>
      <w:r w:rsidRPr="003B7529">
        <w:lastRenderedPageBreak/>
        <w:t>Nuclear Waste Services rep</w:t>
      </w:r>
      <w:r w:rsidRPr="003B7529" w:rsidR="003B7529">
        <w:t>resentative</w:t>
      </w:r>
      <w:r w:rsidR="00B2029A">
        <w:t>s</w:t>
      </w:r>
      <w:r w:rsidRPr="003B7529">
        <w:t xml:space="preserve"> </w:t>
      </w:r>
    </w:p>
    <w:p w:rsidRPr="003B7529" w:rsidR="001103A5" w:rsidP="003B7529" w:rsidRDefault="001103A5" w14:paraId="1E488F10" w14:textId="4CC06D16">
      <w:pPr>
        <w:pStyle w:val="ListParagraph"/>
        <w:numPr>
          <w:ilvl w:val="0"/>
          <w:numId w:val="12"/>
        </w:numPr>
      </w:pPr>
      <w:r w:rsidRPr="003B7529">
        <w:t>South Copeland Community Partnership</w:t>
      </w:r>
      <w:r w:rsidRPr="003B7529" w:rsidR="003B7529">
        <w:t xml:space="preserve"> chair</w:t>
      </w:r>
    </w:p>
    <w:p w:rsidRPr="003B7529" w:rsidR="001103A5" w:rsidP="003B7529" w:rsidRDefault="001103A5" w14:paraId="60A52430" w14:textId="7EF981CF">
      <w:pPr>
        <w:pStyle w:val="ListParagraph"/>
        <w:numPr>
          <w:ilvl w:val="0"/>
          <w:numId w:val="12"/>
        </w:numPr>
      </w:pPr>
      <w:r w:rsidRPr="003B7529">
        <w:t>Relevant Principal Local Authority rep</w:t>
      </w:r>
      <w:r w:rsidRPr="003B7529" w:rsidR="003B7529">
        <w:t>resentative</w:t>
      </w:r>
      <w:r w:rsidRPr="003B7529">
        <w:t xml:space="preserve"> </w:t>
      </w:r>
    </w:p>
    <w:p w:rsidRPr="003B7529" w:rsidR="001103A5" w:rsidP="003B7529" w:rsidRDefault="001103A5" w14:paraId="3A6A3B4D" w14:textId="708AC32A">
      <w:pPr>
        <w:pStyle w:val="ListParagraph"/>
        <w:numPr>
          <w:ilvl w:val="0"/>
          <w:numId w:val="12"/>
        </w:numPr>
      </w:pPr>
      <w:r w:rsidRPr="003B7529">
        <w:t>Millom Town Council rep</w:t>
      </w:r>
      <w:r w:rsidR="003B7529">
        <w:t>resentative</w:t>
      </w:r>
    </w:p>
    <w:p w:rsidR="001103A5" w:rsidP="003B7529" w:rsidRDefault="001103A5" w14:paraId="1871C81A" w14:textId="7D2A41FD">
      <w:pPr>
        <w:pStyle w:val="ListParagraph"/>
        <w:numPr>
          <w:ilvl w:val="0"/>
          <w:numId w:val="12"/>
        </w:numPr>
      </w:pPr>
      <w:r w:rsidRPr="003B7529">
        <w:t>Sustainable Duddon rep</w:t>
      </w:r>
      <w:r w:rsidR="003B7529">
        <w:t>resentative</w:t>
      </w:r>
      <w:r w:rsidRPr="003B7529">
        <w:t xml:space="preserve"> </w:t>
      </w:r>
    </w:p>
    <w:p w:rsidR="00712250" w:rsidP="00712250" w:rsidRDefault="00712250" w14:paraId="2ED6FE7B" w14:textId="2A97B47A">
      <w:pPr>
        <w:pStyle w:val="ListParagraph"/>
        <w:numPr>
          <w:ilvl w:val="0"/>
          <w:numId w:val="12"/>
        </w:numPr>
      </w:pPr>
      <w:r>
        <w:t>Whicham Parish</w:t>
      </w:r>
      <w:r w:rsidRPr="003B7529">
        <w:t xml:space="preserve"> Council rep</w:t>
      </w:r>
      <w:r>
        <w:t>resentative</w:t>
      </w:r>
    </w:p>
    <w:p w:rsidRPr="003B7529" w:rsidR="00712250" w:rsidP="00712250" w:rsidRDefault="00712250" w14:paraId="61B72732" w14:textId="08ED90A0">
      <w:pPr>
        <w:pStyle w:val="ListParagraph"/>
        <w:numPr>
          <w:ilvl w:val="0"/>
          <w:numId w:val="12"/>
        </w:numPr>
      </w:pPr>
      <w:proofErr w:type="spellStart"/>
      <w:r>
        <w:t>Drigg</w:t>
      </w:r>
      <w:proofErr w:type="spellEnd"/>
      <w:r>
        <w:t xml:space="preserve"> Parish Council representative</w:t>
      </w:r>
    </w:p>
    <w:p w:rsidRPr="00CB700F" w:rsidR="00963A44" w:rsidP="00963A44" w:rsidRDefault="00963A44" w14:paraId="56F2A0C6" w14:textId="77777777">
      <w:pPr>
        <w:rPr>
          <w:b/>
          <w:bCs/>
        </w:rPr>
      </w:pPr>
      <w:r w:rsidRPr="00CB700F">
        <w:rPr>
          <w:b/>
          <w:bCs/>
        </w:rPr>
        <w:t xml:space="preserve">Supporting attendees </w:t>
      </w:r>
    </w:p>
    <w:p w:rsidRPr="00CB700F" w:rsidR="00963A44" w:rsidP="00963A44" w:rsidRDefault="00963A44" w14:paraId="350EA6E5" w14:textId="77777777">
      <w:pPr>
        <w:pStyle w:val="ListParagraph"/>
        <w:numPr>
          <w:ilvl w:val="0"/>
          <w:numId w:val="13"/>
        </w:numPr>
        <w:spacing w:after="160" w:line="259" w:lineRule="auto"/>
      </w:pPr>
      <w:r w:rsidRPr="00CB700F">
        <w:t xml:space="preserve">Operations Manager </w:t>
      </w:r>
    </w:p>
    <w:p w:rsidRPr="00CB700F" w:rsidR="00963A44" w:rsidP="00963A44" w:rsidRDefault="00963A44" w14:paraId="0E25664D" w14:textId="77777777">
      <w:pPr>
        <w:pStyle w:val="ListParagraph"/>
        <w:numPr>
          <w:ilvl w:val="0"/>
          <w:numId w:val="13"/>
        </w:numPr>
        <w:spacing w:after="160" w:line="259" w:lineRule="auto"/>
      </w:pPr>
      <w:r w:rsidRPr="00CB700F">
        <w:t>Community Engagement Coordinator or Secretariat</w:t>
      </w:r>
    </w:p>
    <w:p w:rsidRPr="00CB700F" w:rsidR="00963A44" w:rsidP="00890A27" w:rsidRDefault="00963A44" w14:paraId="0A1867D3" w14:textId="77777777"/>
    <w:p w:rsidRPr="00CB700F" w:rsidR="00BE06F6" w:rsidP="00BE06F6" w:rsidRDefault="00303B17" w14:paraId="58C08278" w14:textId="468ADE9F">
      <w:pPr>
        <w:spacing w:after="160" w:line="259" w:lineRule="auto"/>
      </w:pPr>
      <w:r>
        <w:t>Due to the nature of this subgroup’s scope</w:t>
      </w:r>
      <w:r w:rsidR="0067481F">
        <w:t xml:space="preserve"> </w:t>
      </w:r>
      <w:r w:rsidRPr="00CB700F" w:rsidR="0067481F">
        <w:t>a</w:t>
      </w:r>
      <w:r w:rsidRPr="00CB700F" w:rsidR="00BE06F6">
        <w:t>s a minimum the Subgroup will comprise of four members, one of which must be a representative from the Developer and one representative from the Relevant Principal Local Authority</w:t>
      </w:r>
      <w:r w:rsidR="00CB700F">
        <w:t>.</w:t>
      </w:r>
    </w:p>
    <w:p w:rsidRPr="00303B17" w:rsidR="00936820" w:rsidP="00936820" w:rsidRDefault="00936820" w14:paraId="72A4A0C4" w14:textId="6C5A102E"/>
    <w:p w:rsidR="00936820" w:rsidP="00936820" w:rsidRDefault="00936820" w14:paraId="621C5056" w14:textId="344ABDC5">
      <w:pPr>
        <w:pStyle w:val="Heading2"/>
        <w:ind w:left="709" w:hanging="709"/>
      </w:pPr>
      <w:r>
        <w:t>Working Arrangements</w:t>
      </w:r>
    </w:p>
    <w:p w:rsidRPr="00CF5B25" w:rsidR="00936820" w:rsidP="00936820" w:rsidRDefault="000D2293" w14:paraId="325F026A" w14:textId="55DF6993">
      <w:pPr>
        <w:rPr>
          <w:b/>
          <w:bCs/>
        </w:rPr>
      </w:pPr>
      <w:r w:rsidRPr="00CF5B25">
        <w:rPr>
          <w:b/>
          <w:bCs/>
          <w:sz w:val="24"/>
          <w:szCs w:val="24"/>
        </w:rPr>
        <w:t>Meetings</w:t>
      </w:r>
    </w:p>
    <w:p w:rsidR="00CF5B25" w:rsidP="00CF5B25" w:rsidRDefault="00CF5B25" w14:paraId="12818A4E" w14:textId="4CCE67AA">
      <w:r>
        <w:t xml:space="preserve">Meeting dates, </w:t>
      </w:r>
      <w:proofErr w:type="gramStart"/>
      <w:r>
        <w:t>times</w:t>
      </w:r>
      <w:proofErr w:type="gramEnd"/>
      <w:r>
        <w:t xml:space="preserve"> and frequency</w:t>
      </w:r>
      <w:r w:rsidR="00F42800">
        <w:t xml:space="preserve"> (minimum quarterly)</w:t>
      </w:r>
      <w:r>
        <w:t xml:space="preserve"> will be agreed by the Subgroup</w:t>
      </w:r>
      <w:r w:rsidR="007A7C61">
        <w:t>.</w:t>
      </w:r>
      <w:r w:rsidR="00BB56AA">
        <w:t xml:space="preserve"> </w:t>
      </w:r>
    </w:p>
    <w:p w:rsidR="000D2293" w:rsidP="00CF5B25" w:rsidRDefault="00CF5B25" w14:paraId="76E1FDC5" w14:textId="100EB1BB">
      <w:r>
        <w:t xml:space="preserve">Meetings </w:t>
      </w:r>
      <w:r w:rsidR="00FA4D31">
        <w:t>will take place</w:t>
      </w:r>
      <w:r>
        <w:t xml:space="preserve"> </w:t>
      </w:r>
      <w:r w:rsidR="007A7C61">
        <w:t>f</w:t>
      </w:r>
      <w:r>
        <w:t>ace</w:t>
      </w:r>
      <w:r w:rsidR="007A7C61">
        <w:t>-</w:t>
      </w:r>
      <w:r>
        <w:t>to</w:t>
      </w:r>
      <w:r w:rsidR="007A7C61">
        <w:t>-f</w:t>
      </w:r>
      <w:r>
        <w:t>ace or virtual</w:t>
      </w:r>
      <w:r w:rsidR="00FA4D31">
        <w:t>ly</w:t>
      </w:r>
      <w:r>
        <w:t xml:space="preserve"> (if </w:t>
      </w:r>
      <w:r w:rsidR="007A7C61">
        <w:t>face-to-face,</w:t>
      </w:r>
      <w:r>
        <w:t xml:space="preserve"> the NWS Risk Assessment and booking procedure must be followed)</w:t>
      </w:r>
      <w:r w:rsidR="007A7C61">
        <w:t>.</w:t>
      </w:r>
      <w:r w:rsidR="00CE3BEC">
        <w:t xml:space="preserve"> </w:t>
      </w:r>
      <w:r w:rsidR="0079022E">
        <w:t>Meetings will not be held in public.</w:t>
      </w:r>
    </w:p>
    <w:p w:rsidRPr="00CF5B25" w:rsidR="000D2293" w:rsidP="00936820" w:rsidRDefault="000D2293" w14:paraId="5765B282" w14:textId="6CF7CF26">
      <w:pPr>
        <w:rPr>
          <w:b/>
          <w:bCs/>
          <w:sz w:val="24"/>
          <w:szCs w:val="24"/>
        </w:rPr>
      </w:pPr>
      <w:r w:rsidRPr="00CF5B25">
        <w:rPr>
          <w:b/>
          <w:bCs/>
          <w:sz w:val="24"/>
          <w:szCs w:val="24"/>
        </w:rPr>
        <w:t>Agendas and Papers</w:t>
      </w:r>
    </w:p>
    <w:p w:rsidR="00C33290" w:rsidP="00C33290" w:rsidRDefault="00A050A1" w14:paraId="7AAC874D" w14:textId="7EAF0CB3">
      <w:r>
        <w:t>A</w:t>
      </w:r>
      <w:r w:rsidR="00C33290">
        <w:t>genda items will be determined by the Subgroup</w:t>
      </w:r>
      <w:r>
        <w:t>, or as requested by the Community Partnership.</w:t>
      </w:r>
    </w:p>
    <w:p w:rsidRPr="00C33290" w:rsidR="000D2293" w:rsidP="00C33290" w:rsidRDefault="00C33290" w14:paraId="79D2D857" w14:textId="77A987DB">
      <w:r>
        <w:t>The agenda and any relevant papers will be circulated 5 days prior to the meeting.</w:t>
      </w:r>
    </w:p>
    <w:p w:rsidRPr="00CF5B25" w:rsidR="000D2293" w:rsidP="00936820" w:rsidRDefault="00C725B8" w14:paraId="4984ADBD" w14:textId="210884C8">
      <w:pPr>
        <w:rPr>
          <w:b/>
          <w:bCs/>
          <w:sz w:val="24"/>
          <w:szCs w:val="24"/>
        </w:rPr>
      </w:pPr>
      <w:r w:rsidRPr="00CF5B25">
        <w:rPr>
          <w:b/>
          <w:bCs/>
          <w:sz w:val="24"/>
          <w:szCs w:val="24"/>
        </w:rPr>
        <w:t>Actions</w:t>
      </w:r>
    </w:p>
    <w:p w:rsidR="000A22CB" w:rsidP="000A22CB" w:rsidRDefault="000A22CB" w14:paraId="3908556D" w14:textId="7EC336E1">
      <w:r>
        <w:t xml:space="preserve">All actions will be recorded </w:t>
      </w:r>
      <w:r w:rsidR="00E60274">
        <w:t>and circulated to Subgroup members within one week of any meeting</w:t>
      </w:r>
      <w:r>
        <w:t>.</w:t>
      </w:r>
    </w:p>
    <w:p w:rsidR="00C725B8" w:rsidP="000A22CB" w:rsidRDefault="000A22CB" w14:paraId="5EDAC332" w14:textId="4F85FCE1">
      <w:r>
        <w:t xml:space="preserve">Actions will be monitored by </w:t>
      </w:r>
      <w:r w:rsidR="00D70A4D">
        <w:t>t</w:t>
      </w:r>
      <w:r>
        <w:t>he Subgroup Chair.</w:t>
      </w:r>
    </w:p>
    <w:p w:rsidRPr="00D72325" w:rsidR="00D72325" w:rsidP="000A22CB" w:rsidRDefault="00D72325" w14:paraId="5A5ED457" w14:textId="66B03EB4">
      <w:pPr>
        <w:rPr>
          <w:b/>
          <w:bCs/>
          <w:sz w:val="24"/>
          <w:szCs w:val="24"/>
        </w:rPr>
      </w:pPr>
      <w:r w:rsidRPr="00D72325">
        <w:rPr>
          <w:b/>
          <w:bCs/>
          <w:sz w:val="24"/>
          <w:szCs w:val="24"/>
        </w:rPr>
        <w:t>Decisions</w:t>
      </w:r>
    </w:p>
    <w:p w:rsidRPr="005570F0" w:rsidR="00C438B8" w:rsidP="00C438B8" w:rsidRDefault="001F69FC" w14:paraId="70F3688F" w14:textId="377A7DCA" w14:noSpellErr="1">
      <w:pPr/>
      <w:r w:rsidR="001F69FC">
        <w:rPr/>
        <w:t>In relation to d</w:t>
      </w:r>
      <w:r w:rsidR="00462BBB">
        <w:rPr/>
        <w:t xml:space="preserve">ecisions to be </w:t>
      </w:r>
      <w:r w:rsidR="001F69FC">
        <w:rPr/>
        <w:t>taken</w:t>
      </w:r>
      <w:r w:rsidR="00462BBB">
        <w:rPr/>
        <w:t xml:space="preserve"> by the Subgroup or recommendations to be made to the Community Partnership, t</w:t>
      </w:r>
      <w:r w:rsidR="004212DA">
        <w:rPr/>
        <w:t xml:space="preserve">he </w:t>
      </w:r>
      <w:r w:rsidR="00685B1F">
        <w:rPr/>
        <w:t xml:space="preserve">decisions would only stand </w:t>
      </w:r>
      <w:r w:rsidR="004212DA">
        <w:rPr/>
        <w:t>if</w:t>
      </w:r>
      <w:r w:rsidR="00EF65E7">
        <w:rPr/>
        <w:t xml:space="preserve"> </w:t>
      </w:r>
      <w:r w:rsidR="00E0662F">
        <w:rPr/>
        <w:t xml:space="preserve">representatives of Nuclear Waste Services and the relevant Principal Local Authority </w:t>
      </w:r>
      <w:r w:rsidR="00872432">
        <w:rPr/>
        <w:t xml:space="preserve">as well as </w:t>
      </w:r>
      <w:r w:rsidR="00C438B8">
        <w:rPr/>
        <w:t>two</w:t>
      </w:r>
      <w:r w:rsidR="00872432">
        <w:rPr/>
        <w:t xml:space="preserve"> Community Member</w:t>
      </w:r>
      <w:r w:rsidR="00C438B8">
        <w:rPr/>
        <w:t>s</w:t>
      </w:r>
      <w:r w:rsidR="007F254A">
        <w:rPr/>
        <w:t xml:space="preserve"> </w:t>
      </w:r>
      <w:r w:rsidR="00A949D7">
        <w:rPr/>
        <w:t>agree them</w:t>
      </w:r>
      <w:r w:rsidR="00DA1E06">
        <w:rPr/>
        <w:t>.</w:t>
      </w:r>
    </w:p>
    <w:p w:rsidR="00C438B8" w:rsidP="00C438B8" w:rsidRDefault="00C438B8" w14:paraId="0C51E452" w14:textId="02524BAF">
      <w:r>
        <w:lastRenderedPageBreak/>
        <w:t>If any Community Partnership voting member feels that a decision or recommendation of a subgroup is significant enough to warrant full member scrutiny, it will</w:t>
      </w:r>
      <w:r w:rsidR="0020438C">
        <w:t xml:space="preserve"> be</w:t>
      </w:r>
      <w:r>
        <w:t xml:space="preserve"> raised at the full Community Partnership meeting.</w:t>
      </w:r>
    </w:p>
    <w:p w:rsidR="00D72325" w:rsidP="000A22CB" w:rsidRDefault="00D72325" w14:paraId="12627DF3" w14:textId="3CB0CDAB"/>
    <w:p w:rsidR="0069497A" w:rsidP="000A22CB" w:rsidRDefault="0069497A" w14:paraId="5A667AF4" w14:textId="77777777"/>
    <w:p w:rsidR="00C725B8" w:rsidP="00C725B8" w:rsidRDefault="00C725B8" w14:paraId="73CCF666" w14:textId="631E0D20">
      <w:pPr>
        <w:pStyle w:val="Heading2"/>
        <w:ind w:left="709" w:hanging="709"/>
      </w:pPr>
      <w:r>
        <w:t>Reporting</w:t>
      </w:r>
    </w:p>
    <w:p w:rsidRPr="00C725B8" w:rsidR="0030206F" w:rsidP="00C725B8" w:rsidRDefault="00E60274" w14:paraId="6BD1E6E0" w14:textId="51BC02DA">
      <w:r>
        <w:t xml:space="preserve">The Chair of the Subgroup shall report to the next Community Partnership meeting on the progress of the Subgroup, any decisions </w:t>
      </w:r>
      <w:proofErr w:type="gramStart"/>
      <w:r>
        <w:t>taken</w:t>
      </w:r>
      <w:proofErr w:type="gramEnd"/>
      <w:r>
        <w:t xml:space="preserve"> and</w:t>
      </w:r>
      <w:r w:rsidR="0020438C">
        <w:t xml:space="preserve"> any</w:t>
      </w:r>
      <w:r>
        <w:t xml:space="preserve"> recommendations made. </w:t>
      </w:r>
      <w:r w:rsidR="0030206F">
        <w:t>The Chair may nominate a deputy to report to the Community Partnership in their absence.</w:t>
      </w:r>
    </w:p>
    <w:sectPr w:rsidRPr="00C725B8" w:rsidR="0030206F" w:rsidSect="00A17589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177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589" w:rsidP="00C90E7E" w:rsidRDefault="00A17589" w14:paraId="57C810FA" w14:textId="77777777">
      <w:pPr>
        <w:spacing w:after="0" w:line="240" w:lineRule="auto"/>
      </w:pPr>
      <w:r>
        <w:separator/>
      </w:r>
    </w:p>
  </w:endnote>
  <w:endnote w:type="continuationSeparator" w:id="0">
    <w:p w:rsidR="00A17589" w:rsidP="00C90E7E" w:rsidRDefault="00A17589" w14:paraId="06C127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570F0" w:rsidR="00C90E7E" w:rsidRDefault="007F254A" w14:paraId="39CB0551" w14:textId="54698CA7" w14:noSpellErr="1">
    <w:pPr>
      <w:pStyle w:val="Footer"/>
    </w:pPr>
    <w:r w:rsidR="7121CDEA">
      <w:rPr/>
      <w:t>To be reviewed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589" w:rsidP="00C90E7E" w:rsidRDefault="00A17589" w14:paraId="56C6D395" w14:textId="77777777">
      <w:pPr>
        <w:spacing w:after="0" w:line="240" w:lineRule="auto"/>
      </w:pPr>
      <w:r>
        <w:separator/>
      </w:r>
    </w:p>
  </w:footnote>
  <w:footnote w:type="continuationSeparator" w:id="0">
    <w:p w:rsidR="00A17589" w:rsidP="00C90E7E" w:rsidRDefault="00A17589" w14:paraId="07760C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736A15" w:rsidRDefault="0020438C" w14:paraId="6387B3D5" w14:textId="598E9F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98F73F" wp14:editId="0D1B5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438C" w:rsidR="0020438C" w:rsidP="0020438C" w:rsidRDefault="0020438C" w14:paraId="0462AAB3" w14:textId="583B55B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43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98F73F">
              <v:stroke joinstyle="miter"/>
              <v:path gradientshapeok="t" o:connecttype="rect"/>
            </v:shapetype>
            <v:shape id="Text Box 2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20438C" w:rsidR="0020438C" w:rsidP="0020438C" w:rsidRDefault="0020438C" w14:paraId="0462AAB3" w14:textId="583B55B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438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="00C90E7E" w:rsidP="00C90E7E" w:rsidRDefault="0020438C" w14:paraId="545120CC" w14:textId="53C1329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2E5F7C5" wp14:editId="635BF360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438C" w:rsidR="0020438C" w:rsidP="0020438C" w:rsidRDefault="0020438C" w14:paraId="255B91BB" w14:textId="44F2737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43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2E5F7C5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20438C" w:rsidR="0020438C" w:rsidP="0020438C" w:rsidRDefault="0020438C" w14:paraId="255B91BB" w14:textId="44F2737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438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0E7E">
      <w:rPr>
        <w:noProof/>
      </w:rPr>
      <w:drawing>
        <wp:anchor distT="0" distB="0" distL="114300" distR="114300" simplePos="0" relativeHeight="251655680" behindDoc="0" locked="0" layoutInCell="1" allowOverlap="1" wp14:anchorId="6830756B" wp14:editId="26158834">
          <wp:simplePos x="0" y="0"/>
          <wp:positionH relativeFrom="column">
            <wp:posOffset>4038600</wp:posOffset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736A15" w:rsidRDefault="0020438C" w14:paraId="164C1D37" w14:textId="02A13E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EE3A1EC" wp14:editId="72DE47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0438C" w:rsidR="0020438C" w:rsidP="0020438C" w:rsidRDefault="0020438C" w14:paraId="6E0AC596" w14:textId="2E4AF3B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438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E3A1EC">
              <v:stroke joinstyle="miter"/>
              <v:path gradientshapeok="t" o:connecttype="rect"/>
            </v:shapetype>
            <v:shape id="Text Box 1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20438C" w:rsidR="0020438C" w:rsidP="0020438C" w:rsidRDefault="0020438C" w14:paraId="6E0AC596" w14:textId="2E4AF3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438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5C6"/>
    <w:multiLevelType w:val="hybridMultilevel"/>
    <w:tmpl w:val="F3AEF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 w15:restartNumberingAfterBreak="0">
    <w:nsid w:val="4B037437"/>
    <w:multiLevelType w:val="hybridMultilevel"/>
    <w:tmpl w:val="749C18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F52F40"/>
    <w:multiLevelType w:val="hybridMultilevel"/>
    <w:tmpl w:val="B27CBB7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5AC108C"/>
    <w:multiLevelType w:val="hybridMultilevel"/>
    <w:tmpl w:val="29ECAEC0"/>
    <w:lvl w:ilvl="0" w:tplc="12CC5F8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C54425"/>
    <w:multiLevelType w:val="multilevel"/>
    <w:tmpl w:val="A6D610C8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D6540A"/>
    <w:multiLevelType w:val="hybridMultilevel"/>
    <w:tmpl w:val="8EECA036"/>
    <w:lvl w:ilvl="0" w:tplc="12CC5F80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6026496">
    <w:abstractNumId w:val="1"/>
  </w:num>
  <w:num w:numId="2" w16cid:durableId="605695040">
    <w:abstractNumId w:val="6"/>
  </w:num>
  <w:num w:numId="3" w16cid:durableId="289290617">
    <w:abstractNumId w:val="2"/>
  </w:num>
  <w:num w:numId="4" w16cid:durableId="208227162">
    <w:abstractNumId w:val="6"/>
  </w:num>
  <w:num w:numId="5" w16cid:durableId="1464810544">
    <w:abstractNumId w:val="6"/>
  </w:num>
  <w:num w:numId="6" w16cid:durableId="1566142887">
    <w:abstractNumId w:val="6"/>
  </w:num>
  <w:num w:numId="7" w16cid:durableId="1435592456">
    <w:abstractNumId w:val="6"/>
  </w:num>
  <w:num w:numId="8" w16cid:durableId="85226746">
    <w:abstractNumId w:val="6"/>
  </w:num>
  <w:num w:numId="9" w16cid:durableId="1212496279">
    <w:abstractNumId w:val="3"/>
  </w:num>
  <w:num w:numId="10" w16cid:durableId="317612500">
    <w:abstractNumId w:val="5"/>
  </w:num>
  <w:num w:numId="11" w16cid:durableId="1910656290">
    <w:abstractNumId w:val="0"/>
  </w:num>
  <w:num w:numId="12" w16cid:durableId="1702435493">
    <w:abstractNumId w:val="7"/>
  </w:num>
  <w:num w:numId="13" w16cid:durableId="124263685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revisionView w:markup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C2"/>
    <w:rsid w:val="00023DE9"/>
    <w:rsid w:val="00070F39"/>
    <w:rsid w:val="000811DA"/>
    <w:rsid w:val="00086DD2"/>
    <w:rsid w:val="000955FD"/>
    <w:rsid w:val="000A22CB"/>
    <w:rsid w:val="000C0561"/>
    <w:rsid w:val="000D2293"/>
    <w:rsid w:val="001103A5"/>
    <w:rsid w:val="00133156"/>
    <w:rsid w:val="00180333"/>
    <w:rsid w:val="00181153"/>
    <w:rsid w:val="001814C2"/>
    <w:rsid w:val="001C038A"/>
    <w:rsid w:val="001C3978"/>
    <w:rsid w:val="001F69FC"/>
    <w:rsid w:val="0020438C"/>
    <w:rsid w:val="00204D6A"/>
    <w:rsid w:val="00242D36"/>
    <w:rsid w:val="00274A97"/>
    <w:rsid w:val="00291B07"/>
    <w:rsid w:val="002C3D7C"/>
    <w:rsid w:val="002D4C43"/>
    <w:rsid w:val="002E1326"/>
    <w:rsid w:val="0030206F"/>
    <w:rsid w:val="00302D76"/>
    <w:rsid w:val="00303B17"/>
    <w:rsid w:val="003100A1"/>
    <w:rsid w:val="00354942"/>
    <w:rsid w:val="00382478"/>
    <w:rsid w:val="00387A4D"/>
    <w:rsid w:val="00392464"/>
    <w:rsid w:val="003A292F"/>
    <w:rsid w:val="003B43CD"/>
    <w:rsid w:val="003B7529"/>
    <w:rsid w:val="003E1560"/>
    <w:rsid w:val="00414DC7"/>
    <w:rsid w:val="004204F0"/>
    <w:rsid w:val="004212DA"/>
    <w:rsid w:val="00424AEA"/>
    <w:rsid w:val="00425DD9"/>
    <w:rsid w:val="00435789"/>
    <w:rsid w:val="004527EF"/>
    <w:rsid w:val="00454CC3"/>
    <w:rsid w:val="00462BBB"/>
    <w:rsid w:val="00490965"/>
    <w:rsid w:val="004A65FD"/>
    <w:rsid w:val="00511777"/>
    <w:rsid w:val="00513A9E"/>
    <w:rsid w:val="005570F0"/>
    <w:rsid w:val="00565865"/>
    <w:rsid w:val="005669AE"/>
    <w:rsid w:val="005913D4"/>
    <w:rsid w:val="005A0413"/>
    <w:rsid w:val="005A21BD"/>
    <w:rsid w:val="005C46B3"/>
    <w:rsid w:val="005E2ACA"/>
    <w:rsid w:val="006044CA"/>
    <w:rsid w:val="00610803"/>
    <w:rsid w:val="00626157"/>
    <w:rsid w:val="00653B9A"/>
    <w:rsid w:val="00654D0F"/>
    <w:rsid w:val="0067481F"/>
    <w:rsid w:val="00685B1F"/>
    <w:rsid w:val="0069497A"/>
    <w:rsid w:val="006A0E40"/>
    <w:rsid w:val="006E0237"/>
    <w:rsid w:val="00712250"/>
    <w:rsid w:val="00736A15"/>
    <w:rsid w:val="0078262B"/>
    <w:rsid w:val="0079022E"/>
    <w:rsid w:val="007A7C61"/>
    <w:rsid w:val="007B026F"/>
    <w:rsid w:val="007F254A"/>
    <w:rsid w:val="00807B50"/>
    <w:rsid w:val="00817FD9"/>
    <w:rsid w:val="00833C2B"/>
    <w:rsid w:val="0086021A"/>
    <w:rsid w:val="008602B7"/>
    <w:rsid w:val="00872432"/>
    <w:rsid w:val="00886599"/>
    <w:rsid w:val="008907EC"/>
    <w:rsid w:val="00890A27"/>
    <w:rsid w:val="008C6D0D"/>
    <w:rsid w:val="008D5703"/>
    <w:rsid w:val="009345ED"/>
    <w:rsid w:val="00936820"/>
    <w:rsid w:val="0094618F"/>
    <w:rsid w:val="00951568"/>
    <w:rsid w:val="0096361B"/>
    <w:rsid w:val="00963A44"/>
    <w:rsid w:val="0096415A"/>
    <w:rsid w:val="00985230"/>
    <w:rsid w:val="009D0C4F"/>
    <w:rsid w:val="009D2A70"/>
    <w:rsid w:val="009D4D12"/>
    <w:rsid w:val="009D6D54"/>
    <w:rsid w:val="00A050A1"/>
    <w:rsid w:val="00A161E9"/>
    <w:rsid w:val="00A17589"/>
    <w:rsid w:val="00A30A25"/>
    <w:rsid w:val="00A85567"/>
    <w:rsid w:val="00A949D7"/>
    <w:rsid w:val="00AA57AC"/>
    <w:rsid w:val="00AB671A"/>
    <w:rsid w:val="00B2029A"/>
    <w:rsid w:val="00B57330"/>
    <w:rsid w:val="00B96736"/>
    <w:rsid w:val="00BB56AA"/>
    <w:rsid w:val="00BD2FCC"/>
    <w:rsid w:val="00BD7C29"/>
    <w:rsid w:val="00BE06F6"/>
    <w:rsid w:val="00C33290"/>
    <w:rsid w:val="00C438B8"/>
    <w:rsid w:val="00C71EB1"/>
    <w:rsid w:val="00C725B8"/>
    <w:rsid w:val="00C90E7E"/>
    <w:rsid w:val="00C9474C"/>
    <w:rsid w:val="00C96F34"/>
    <w:rsid w:val="00CB700F"/>
    <w:rsid w:val="00CC5999"/>
    <w:rsid w:val="00CE3BEC"/>
    <w:rsid w:val="00CE5013"/>
    <w:rsid w:val="00CF4530"/>
    <w:rsid w:val="00CF5B25"/>
    <w:rsid w:val="00D04CDD"/>
    <w:rsid w:val="00D2714E"/>
    <w:rsid w:val="00D64FDE"/>
    <w:rsid w:val="00D70A4D"/>
    <w:rsid w:val="00D72325"/>
    <w:rsid w:val="00DA1E06"/>
    <w:rsid w:val="00DF0E8A"/>
    <w:rsid w:val="00E0662F"/>
    <w:rsid w:val="00E60274"/>
    <w:rsid w:val="00E969A8"/>
    <w:rsid w:val="00E96F52"/>
    <w:rsid w:val="00ED3F1A"/>
    <w:rsid w:val="00EF65E7"/>
    <w:rsid w:val="00EF6917"/>
    <w:rsid w:val="00F15299"/>
    <w:rsid w:val="00F17CDF"/>
    <w:rsid w:val="00F24A1B"/>
    <w:rsid w:val="00F42800"/>
    <w:rsid w:val="00F64485"/>
    <w:rsid w:val="00F64ED6"/>
    <w:rsid w:val="00FA4D31"/>
    <w:rsid w:val="00FA7205"/>
    <w:rsid w:val="00FA7B8A"/>
    <w:rsid w:val="00FE33BB"/>
    <w:rsid w:val="16CD762B"/>
    <w:rsid w:val="3AEBA842"/>
    <w:rsid w:val="41D7E7DC"/>
    <w:rsid w:val="7121C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AA587"/>
  <w15:chartTrackingRefBased/>
  <w15:docId w15:val="{684557D1-E2C4-4547-A4C1-49DE7B19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21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2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7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52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7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27E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527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27E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60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11/relationships/people" Target="people.xml" Id="rId13" /><Relationship Type="http://schemas.openxmlformats.org/officeDocument/2006/relationships/customXml" Target="../customXml/item5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.ward\OneDrive%20-%20nda.gov.uk\Documents\Rob\South%20Copeland\Operations\Bas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27CF7FE4C58489D6BED6C55029318" ma:contentTypeVersion="12" ma:contentTypeDescription="Create a new document." ma:contentTypeScope="" ma:versionID="64a7a23b5c0a8f592b57a9f7f59c9b40">
  <xsd:schema xmlns:xsd="http://www.w3.org/2001/XMLSchema" xmlns:xs="http://www.w3.org/2001/XMLSchema" xmlns:p="http://schemas.microsoft.com/office/2006/metadata/properties" xmlns:ns2="978bf29f-9f95-42a2-8305-caea30f2b04e" xmlns:ns3="6033a234-c704-4e9b-9e67-19f260df118c" targetNamespace="http://schemas.microsoft.com/office/2006/metadata/properties" ma:root="true" ma:fieldsID="b9518322389f64622549d90be38f0510" ns2:_="" ns3:_="">
    <xsd:import namespace="978bf29f-9f95-42a2-8305-caea30f2b04e"/>
    <xsd:import namespace="6033a234-c704-4e9b-9e67-19f260df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f29f-9f95-42a2-8305-caea30f2b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a234-c704-4e9b-9e67-19f260df118c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033a234-c704-4e9b-9e67-19f260df118c">2081-1011147124-199</_dlc_DocId>
    <_dlc_DocIdUrl xmlns="6033a234-c704-4e9b-9e67-19f260df118c">
      <Url>https://llwrsite0.sharepoint.com/sites/-SouthCopelandCoreTeam/_layouts/15/DocIdRedir.aspx?ID=2081-1011147124-199</Url>
      <Description>2081-1011147124-199</Description>
    </_dlc_DocIdUrl>
  </documentManagement>
</p:properties>
</file>

<file path=customXml/itemProps1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003D6-A3F4-45B0-9D23-805225D51864}"/>
</file>

<file path=customXml/itemProps3.xml><?xml version="1.0" encoding="utf-8"?>
<ds:datastoreItem xmlns:ds="http://schemas.openxmlformats.org/officeDocument/2006/customXml" ds:itemID="{6B1E8E7C-4729-4402-ACC4-316FEB79090F}"/>
</file>

<file path=customXml/itemProps4.xml><?xml version="1.0" encoding="utf-8"?>
<ds:datastoreItem xmlns:ds="http://schemas.openxmlformats.org/officeDocument/2006/customXml" ds:itemID="{22B12244-7358-4A4E-9BB2-2F732219FC59}"/>
</file>

<file path=customXml/itemProps5.xml><?xml version="1.0" encoding="utf-8"?>
<ds:datastoreItem xmlns:ds="http://schemas.openxmlformats.org/officeDocument/2006/customXml" ds:itemID="{F124A2BD-1D07-4B8C-BF5C-F396FFB968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Basic document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Ward, Rob</dc:creator>
  <keywords/>
  <dc:description/>
  <lastModifiedBy>Anderson, Kelly (NWS)</lastModifiedBy>
  <revision>51</revision>
  <dcterms:created xsi:type="dcterms:W3CDTF">2024-02-21T13:13:00.0000000Z</dcterms:created>
  <dcterms:modified xsi:type="dcterms:W3CDTF">2024-05-09T12:44:37.1940113Z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19cc7ebe-3455-450c-a5d2-14ba1adb1286_Enabled">
    <vt:lpwstr>true</vt:lpwstr>
  </property>
  <property fmtid="{D5CDD505-2E9C-101B-9397-08002B2CF9AE}" pid="13" name="MSIP_Label_19cc7ebe-3455-450c-a5d2-14ba1adb1286_SetDate">
    <vt:lpwstr>2023-11-30T15:47:23Z</vt:lpwstr>
  </property>
  <property fmtid="{D5CDD505-2E9C-101B-9397-08002B2CF9AE}" pid="14" name="MSIP_Label_19cc7ebe-3455-450c-a5d2-14ba1adb1286_Method">
    <vt:lpwstr>Privileged</vt:lpwstr>
  </property>
  <property fmtid="{D5CDD505-2E9C-101B-9397-08002B2CF9AE}" pid="15" name="MSIP_Label_19cc7ebe-3455-450c-a5d2-14ba1adb1286_Name">
    <vt:lpwstr>OFFICIAL-Marking</vt:lpwstr>
  </property>
  <property fmtid="{D5CDD505-2E9C-101B-9397-08002B2CF9AE}" pid="16" name="MSIP_Label_19cc7ebe-3455-450c-a5d2-14ba1adb1286_SiteId">
    <vt:lpwstr>1929b5b6-230e-4b2e-837a-b96f0a9b1b56</vt:lpwstr>
  </property>
  <property fmtid="{D5CDD505-2E9C-101B-9397-08002B2CF9AE}" pid="17" name="MSIP_Label_19cc7ebe-3455-450c-a5d2-14ba1adb1286_ActionId">
    <vt:lpwstr>5b206142-f3cc-448e-9a6b-eebaedfe2da1</vt:lpwstr>
  </property>
  <property fmtid="{D5CDD505-2E9C-101B-9397-08002B2CF9AE}" pid="18" name="MSIP_Label_19cc7ebe-3455-450c-a5d2-14ba1adb1286_ContentBits">
    <vt:lpwstr>1</vt:lpwstr>
  </property>
  <property fmtid="{D5CDD505-2E9C-101B-9397-08002B2CF9AE}" pid="19" name="ContentTypeId">
    <vt:lpwstr>0x010100BFC27CF7FE4C58489D6BED6C55029318</vt:lpwstr>
  </property>
  <property fmtid="{D5CDD505-2E9C-101B-9397-08002B2CF9AE}" pid="20" name="_dlc_DocIdItemGuid">
    <vt:lpwstr>bd7ea76e-a1e0-47d3-8239-363ad6fc886d</vt:lpwstr>
  </property>
</Properties>
</file>